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Employee Expense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January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employees</w:t>
            </w:r>
          </w:p>
        </w:tc>
      </w:tr>
    </w:tbl>
    <w:p>
      <w:pPr>
        <w:spacing w:after="120"/>
      </w:pPr>
      <w:r>
        <w:t xml:space="preserve">Rules for incurring and claiming business expenses.</w:t>
      </w:r>
    </w:p>
    <w:p>
      <w:pPr>
        <w:pStyle w:val="Heading2"/>
      </w:pPr>
      <w:r>
        <w:t xml:space="preserve">General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Expenses must be reasonable, necessary, and business-related.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claims within 30 days of the expense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Receipts are required for any single expense above $25.</w:t>
      </w:r>
    </w:p>
    <w:p>
      <w:pPr>
        <w:pStyle w:val="Heading2"/>
      </w:pPr>
      <w:r>
        <w:t xml:space="preserve">Travel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economy class for flights under six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Pre-approval required for any trip with total cost above $2,000.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2026-06-14T11:39:56.210Z</dcterms:created>
  <dcterms:modified xsi:type="dcterms:W3CDTF">2026-06-14T11:39:56.210Z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