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Pricing Tiers (Authoritative Rate Card)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June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June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— Controlled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Sales, Finance, RevOps</w:t>
            </w:r>
          </w:p>
        </w:tc>
      </w:tr>
    </w:tbl>
    <w:p>
      <w:pPr>
        <w:spacing w:after="120"/>
      </w:pPr>
      <w:r>
        <w:t xml:space="preserve">This is the authoritative monthly list price by tier. All quotes must be built from this rate card. Annual billing applies a 10% reduction.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list price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Included seats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10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Self-serve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$1,500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support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250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SLA, SSO, data residency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Plus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250+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Negotiated</w:t>
            </w:r>
          </w:p>
        </w:tc>
      </w:tr>
    </w:tbl>
    <w:p>
      <w:pPr>
        <w:spacing w:after="120"/>
      </w:pPr>
      <w:r>
        <w:t xml:space="preserve">Note: This rate card is the single source of truth for list pricing. Customer-facing summaries such as the Pricing FAQ are indicative only and must defer to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2026-06-14T11:39:56.199Z</dcterms:created>
  <dcterms:modified xsi:type="dcterms:W3CDTF">2026-06-14T11:39:56.199Z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