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Revenue Recognition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Finance — Controller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February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February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 — Controlled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Finance, RevOps</w:t>
            </w:r>
          </w:p>
        </w:tc>
      </w:tr>
    </w:tbl>
    <w:p>
      <w:pPr>
        <w:spacing w:after="120"/>
      </w:pPr>
      <w:r>
        <w:t xml:space="preserve">Summary of how Meridian Cloud recognizes subscription revenue under the applicable standard.</w:t>
      </w:r>
    </w:p>
    <w:p>
      <w:pPr>
        <w:pStyle w:val="Heading2"/>
      </w:pPr>
      <w:r>
        <w:t xml:space="preserve">Core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 revenue is recognized ratably over the contract term.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Setup fees are recognized over the expected customer life.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Usage-based charges are recognized in the period the usage occurs.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2026-06-14T11:39:56.227Z</dcterms:created>
  <dcterms:modified xsi:type="dcterms:W3CDTF">2026-06-14T11:39:56.227Z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