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Support 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Support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April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April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— may be shared with customers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Support, Sales</w:t>
            </w:r>
          </w:p>
        </w:tc>
      </w:tr>
    </w:tbl>
    <w:p>
      <w:pPr>
        <w:spacing w:after="120"/>
      </w:pPr>
      <w:r>
        <w:t xml:space="preserve">Describes what each support tier includes. Specific contractual response times for Enterprise customers are set in the signed Master Services Agreement.</w:t>
      </w:r>
    </w:p>
    <w:p>
      <w:pPr>
        <w:pStyle w:val="Heading2"/>
      </w:pPr>
      <w:r>
        <w:t xml:space="preserve">Tiers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Standard: business-hours support, response targets per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Enterprise: 24x7 support for critical incidents, with contractual SLAs defined in the MSA.</w:t>
      </w:r>
    </w:p>
    <w:p>
      <w:pPr>
        <w:spacing w:after="120"/>
      </w:pPr>
      <w:r>
        <w:t xml:space="preserve">Where an internal runbook and a signed customer agreement state different response times, the signed agreement governs the commitment to the customer.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2026-06-14T11:39:56.268Z</dcterms:created>
  <dcterms:modified xsi:type="dcterms:W3CDTF">2026-06-14T11:39:56.268Z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