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EU Data Processing Addendum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Document owner</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Legal &amp; Compliance — Data Protection</w:t>
            </w:r>
          </w:p>
        </w:tc>
      </w:tr>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Version</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3.0</w:t>
            </w:r>
          </w:p>
        </w:tc>
      </w:tr>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Effective date</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10 April 2026</w:t>
            </w:r>
          </w:p>
        </w:tc>
      </w:tr>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Last reviewed</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10 April 2026</w:t>
            </w:r>
          </w:p>
        </w:tc>
      </w:tr>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Classification</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Controlled — Compliance</w:t>
            </w:r>
          </w:p>
        </w:tc>
      </w:tr>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Applies to</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EU/EEA data subjects</w:t>
            </w:r>
          </w:p>
        </w:tc>
      </w:tr>
    </w:tbl>
    <w:p>
      <w:pPr>
        <w:spacing w:after="120"/>
      </w:pPr>
      <w:r>
        <w:t xml:space="preserve">This addendum sets out how Meridian Cloud processes personal data of EU/EEA data subjects in accordance with the GDPR. For EU personal data, the rules in this addendum override the defaults in the Global Data Retention Policy.</w:t>
      </w:r>
    </w:p>
    <w:p>
      <w:pPr>
        <w:pStyle w:val="Heading2"/>
      </w:pPr>
      <w:r>
        <w:t xml:space="preserve">Right to erasure</w:t>
      </w:r>
    </w:p>
    <w:p>
      <w:pPr>
        <w:spacing w:after="120"/>
      </w:pPr>
      <w:r>
        <w:t xml:space="preserve">On a valid erasure request from an EU data subject, or upon account closure, Meridian Cloud will delete the data subject's personal data within 30 days, subject to limited legal exceptions.</w:t>
      </w:r>
    </w:p>
    <w:p>
      <w:pPr>
        <w:pStyle w:val="Heading2"/>
      </w:pPr>
      <w:r>
        <w:t xml:space="preserve">Important scope distinction</w:t>
      </w:r>
    </w:p>
    <w:p>
      <w:pPr>
        <w:pStyle w:val="ListParagraph"/>
        <w:numPr>
          <w:ilvl w:val="0"/>
          <w:numId w:val="2"/>
        </w:numPr>
        <w:spacing w:after="60"/>
      </w:pPr>
      <w:r>
        <w:t xml:space="preserve">This 30-day erasure rule applies to personal data of EU data subjects.</w:t>
      </w:r>
    </w:p>
    <w:p>
      <w:pPr>
        <w:pStyle w:val="ListParagraph"/>
        <w:numPr>
          <w:ilvl w:val="0"/>
          <w:numId w:val="2"/>
        </w:numPr>
        <w:spacing w:after="60"/>
      </w:pPr>
      <w:r>
        <w:t xml:space="preserve">It does not require deletion of financial transaction records that Meridian Cloud must retain to meet independent legal, tax, and audit obligations. Such records are retained per the Global Data Retention Policy, minimized and segregated from personal data where feasible.</w:t>
      </w:r>
    </w:p>
    <w:p>
      <w:pPr>
        <w:spacing w:after="120"/>
      </w:pPr>
      <w:r>
        <w:t xml:space="preserve">In short: EU personal data is erased within 30 days of request or account closure; legally mandated transaction records are retained separately for 7 years. These two rules govern different data categories and are not in conflict.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2026-06-14T11:39:56.326Z</dcterms:created>
  <dcterms:modified xsi:type="dcterms:W3CDTF">2026-06-14T11:39:56.326Z</dcterms:modified>
</cp:coreProperties>
</file>

<file path=docProps/custom.xml><?xml version="1.0" encoding="utf-8"?>
<Properties xmlns="http://schemas.openxmlformats.org/officeDocument/2006/custom-properties" xmlns:vt="http://schemas.openxmlformats.org/officeDocument/2006/docPropsVTypes"/>
</file>