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Enterprise Master Services Agreement (Template)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Legal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7.0 (executed standard)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 April 2025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Last reviewed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01 April 2025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Controlled — Contractual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Applies to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Enterprise customer contracts</w:t>
            </w:r>
          </w:p>
        </w:tc>
      </w:tr>
    </w:tbl>
    <w:p>
      <w:pPr>
        <w:spacing w:after="120"/>
      </w:pPr>
      <w:r>
        <w:t xml:space="preserve">This is the standard executed Master Services Agreement used for Enterprise customers. The service levels in this agreement are contractually binding commitments to the customer.</w:t>
      </w:r>
    </w:p>
    <w:p>
      <w:pPr>
        <w:pStyle w:val="Heading2"/>
      </w:pPr>
      <w:r>
        <w:t xml:space="preserve">Service level commitments (Enterprise)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Contractual first-response commitment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 credit if missed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hour, 24x7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 of monthly fee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 — High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hours, 24x7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5% of monthly fee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P3 — Normal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business day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</w:tbl>
    <w:p>
      <w:pPr>
        <w:spacing w:after="120"/>
      </w:pPr>
      <w:r>
        <w:t xml:space="preserve">The Priority-1 first-response commitment for Enterprise customers is one (1) hour, twenty-four hours a day, seven days a week. Failure to meet this commitment entitles the customer to the service credit stated above. These contractual commitments take precedence over internal operational guidance.</w:t>
      </w:r>
    </w:p>
    <w:p>
      <w:pPr>
        <w:pStyle w:val="Heading2"/>
      </w:pPr>
      <w:r>
        <w:t xml:space="preserve">Other terms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Uptime commitment: 99.9% monthly.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handling governed by the Global Data Retention Policy and, for EU customers, the EU Data Processing Addendum.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2026-06-14T11:39:56.305Z</dcterms:created>
  <dcterms:modified xsi:type="dcterms:W3CDTF">2026-06-14T11:39:56.305Z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