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Global Data Retention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Legal &amp; Compliance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March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March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Controlled — Compliance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customer data, globally</w:t>
            </w:r>
          </w:p>
        </w:tc>
      </w:tr>
    </w:tbl>
    <w:p>
      <w:pPr>
        <w:spacing w:after="120"/>
      </w:pPr>
      <w:r>
        <w:t xml:space="preserve">This policy sets default retention periods for categories of data held by Meridian Cloud. Jurisdiction-specific addenda may impose stricter requirements for particular data categories or regions.</w:t>
      </w:r>
    </w:p>
    <w:p>
      <w:pPr>
        <w:pStyle w:val="Heading2"/>
      </w:pPr>
      <w:r>
        <w:t xml:space="preserve">Retention by data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retention period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transaction records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years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Tax and audit obligations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Contracts and legal records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years after termination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and security logs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 months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operations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personal data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Duration of account + default period below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need</w:t>
            </w:r>
          </w:p>
        </w:tc>
      </w:tr>
    </w:tbl>
    <w:p>
      <w:pPr>
        <w:spacing w:after="120"/>
      </w:pPr>
      <w:r>
        <w:t xml:space="preserve">Default retention for customer personal data is the life of the account plus 90 days, unless a stricter jurisdictional requirement applies. See the EU Data Processing Addendum for EU-specific personal-data rules, which override this default for EU data subjects.</w:t>
      </w:r>
    </w:p>
    <w:p>
      <w:pPr>
        <w:pStyle w:val="Heading2"/>
      </w:pPr>
      <w:r>
        <w:t xml:space="preserve">Scope note</w:t>
      </w:r>
    </w:p>
    <w:p>
      <w:pPr>
        <w:spacing w:after="120"/>
      </w:pPr>
      <w:r>
        <w:t xml:space="preserve">Retention periods apply by data category. Financial transaction records are retained for 7 years for tax and audit reasons even where the related customer has closed their account; this obligation is distinct from personal-data erasure rights.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2026-06-14T11:39:56.315Z</dcterms:created>
  <dcterms:modified xsi:type="dcterms:W3CDTF">2026-06-14T11:39:56.315Z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