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0"/>
          <w:szCs w:val="30"/>
        </w:rPr>
        <w:t xml:space="preserve">GDPR Commitment</w:t>
      </w:r>
    </w:p>
    <w:p>
      <w:pPr>
        <w:spacing w:after="80"/>
        <w:jc w:val="center"/>
      </w:pPr>
      <w:r>
        <w:rPr>
          <w:rFonts w:ascii="Arial" w:cs="Arial" w:eastAsia="Arial" w:hAnsi="Arial"/>
          <w:i/>
          <w:iCs/>
          <w:sz w:val="22"/>
          <w:szCs w:val="22"/>
        </w:rPr>
        <w:t xml:space="preserve">Spontane – www.spontane.app</w:t>
      </w:r>
    </w:p>
    <w:p>
      <w:pPr>
        <w:spacing w:after="480"/>
        <w:jc w:val="center"/>
      </w:pPr>
      <w:r>
        <w:rPr>
          <w:rFonts w:ascii="Arial" w:cs="Arial" w:eastAsia="Arial" w:hAnsi="Arial"/>
          <w:i/>
          <w:iCs/>
          <w:sz w:val="22"/>
          <w:szCs w:val="22"/>
        </w:rPr>
        <w:t xml:space="preserve">As of: June 2026</w:t>
      </w:r>
    </w:p>
    <w:p>
      <w:pPr>
        <w:spacing w:after="140"/>
        <w:jc w:val="both"/>
      </w:pPr>
      <w:r>
        <w:rPr>
          <w:rFonts w:ascii="Arial" w:cs="Arial" w:eastAsia="Arial" w:hAnsi="Arial"/>
          <w:sz w:val="22"/>
          <w:szCs w:val="22"/>
        </w:rPr>
        <w:t xml:space="preserve">Spontane is operated by Rana Namli (Grosse Bleiche 5, 65719 Hofheim am Taunus, Germany) and is committed to complying with the General Data Protection Regulation (GDPR) and protecting the privacy rights of all users in the European Union and beyond.</w:t>
      </w:r>
    </w:p>
    <w:p>
      <w:pPr>
        <w:pStyle w:val="Heading1"/>
        <w:spacing w:after="140" w:before="320"/>
      </w:pPr>
      <w:r>
        <w:rPr>
          <w:rFonts w:ascii="Arial" w:cs="Arial" w:eastAsia="Arial" w:hAnsi="Arial"/>
          <w:b/>
          <w:bCs/>
          <w:sz w:val="26"/>
          <w:szCs w:val="26"/>
        </w:rPr>
        <w:t xml:space="preserve">1. Legal Basis for Data Processing</w:t>
      </w:r>
    </w:p>
    <w:p>
      <w:pPr>
        <w:spacing w:after="140"/>
        <w:jc w:val="both"/>
      </w:pPr>
      <w:r>
        <w:rPr>
          <w:rFonts w:ascii="Arial" w:cs="Arial" w:eastAsia="Arial" w:hAnsi="Arial"/>
          <w:sz w:val="22"/>
          <w:szCs w:val="22"/>
        </w:rPr>
        <w:t xml:space="preserve">We process your personal data based on the following legal grounds under GDPR Article 6:</w:t>
      </w:r>
    </w:p>
    <w:p>
      <w:pPr>
        <w:pStyle w:val="ListParagraph"/>
        <w:numPr>
          <w:ilvl w:val="0"/>
          <w:numId w:val="2"/>
        </w:numPr>
        <w:spacing w:after="80"/>
      </w:pPr>
      <w:r>
        <w:rPr>
          <w:rFonts w:ascii="Arial" w:cs="Arial" w:eastAsia="Arial" w:hAnsi="Arial"/>
          <w:sz w:val="22"/>
          <w:szCs w:val="22"/>
        </w:rPr>
        <w:t xml:space="preserve">Consent (Art. 6(1)(a)): For location data and non-essential features where you provide explicit consent.</w:t>
      </w:r>
    </w:p>
    <w:p>
      <w:pPr>
        <w:pStyle w:val="ListParagraph"/>
        <w:numPr>
          <w:ilvl w:val="0"/>
          <w:numId w:val="2"/>
        </w:numPr>
        <w:spacing w:after="80"/>
      </w:pPr>
      <w:r>
        <w:rPr>
          <w:rFonts w:ascii="Arial" w:cs="Arial" w:eastAsia="Arial" w:hAnsi="Arial"/>
          <w:sz w:val="22"/>
          <w:szCs w:val="22"/>
        </w:rPr>
        <w:t xml:space="preserve">Contract Performance (Art. 6(1)(b)): Processing necessary to provide the Spontane platform, including account management, events, profiles, chat, and language exchange matching.</w:t>
      </w:r>
    </w:p>
    <w:p>
      <w:pPr>
        <w:pStyle w:val="ListParagraph"/>
        <w:numPr>
          <w:ilvl w:val="0"/>
          <w:numId w:val="2"/>
        </w:numPr>
        <w:spacing w:after="80"/>
      </w:pPr>
      <w:r>
        <w:rPr>
          <w:rFonts w:ascii="Arial" w:cs="Arial" w:eastAsia="Arial" w:hAnsi="Arial"/>
          <w:sz w:val="22"/>
          <w:szCs w:val="22"/>
        </w:rPr>
        <w:t xml:space="preserve">Legitimate Interests (Art. 6(1)(f)): For service improvement and fraud prevention, where our interests do not override your rights.</w:t>
      </w:r>
    </w:p>
    <w:p>
      <w:pPr>
        <w:pStyle w:val="ListParagraph"/>
        <w:numPr>
          <w:ilvl w:val="0"/>
          <w:numId w:val="2"/>
        </w:numPr>
        <w:spacing w:after="80"/>
      </w:pPr>
      <w:r>
        <w:rPr>
          <w:rFonts w:ascii="Arial" w:cs="Arial" w:eastAsia="Arial" w:hAnsi="Arial"/>
          <w:sz w:val="22"/>
          <w:szCs w:val="22"/>
        </w:rPr>
        <w:t xml:space="preserve">Legal Obligation (Art. 6(1)(c)): Where required by applicable law.</w:t>
      </w:r>
    </w:p>
    <w:p>
      <w:pPr>
        <w:spacing w:after="100"/>
      </w:pPr>
    </w:p>
    <w:p>
      <w:pPr>
        <w:pStyle w:val="Heading1"/>
        <w:spacing w:after="140" w:before="320"/>
      </w:pPr>
      <w:r>
        <w:rPr>
          <w:rFonts w:ascii="Arial" w:cs="Arial" w:eastAsia="Arial" w:hAnsi="Arial"/>
          <w:b/>
          <w:bCs/>
          <w:sz w:val="26"/>
          <w:szCs w:val="26"/>
        </w:rPr>
        <w:t xml:space="preserve">2. Your GDPR Rights</w:t>
      </w:r>
    </w:p>
    <w:p>
      <w:pPr>
        <w:spacing w:after="140"/>
        <w:jc w:val="both"/>
      </w:pPr>
      <w:r>
        <w:rPr>
          <w:rFonts w:ascii="Arial" w:cs="Arial" w:eastAsia="Arial" w:hAnsi="Arial"/>
          <w:sz w:val="22"/>
          <w:szCs w:val="22"/>
        </w:rPr>
        <w:t xml:space="preserve">Under GDPR, you have the following rights regarding your personal data:</w:t>
      </w:r>
    </w:p>
    <w:p>
      <w:pPr>
        <w:pStyle w:val="ListParagraph"/>
        <w:numPr>
          <w:ilvl w:val="0"/>
          <w:numId w:val="2"/>
        </w:numPr>
        <w:spacing w:after="80"/>
      </w:pPr>
      <w:r>
        <w:rPr>
          <w:rFonts w:ascii="Arial" w:cs="Arial" w:eastAsia="Arial" w:hAnsi="Arial"/>
          <w:sz w:val="22"/>
          <w:szCs w:val="22"/>
        </w:rPr>
        <w:t xml:space="preserve">Right to Access (Art. 15): Request a copy of all personal data we hold about you.</w:t>
      </w:r>
    </w:p>
    <w:p>
      <w:pPr>
        <w:pStyle w:val="ListParagraph"/>
        <w:numPr>
          <w:ilvl w:val="0"/>
          <w:numId w:val="2"/>
        </w:numPr>
        <w:spacing w:after="80"/>
      </w:pPr>
      <w:r>
        <w:rPr>
          <w:rFonts w:ascii="Arial" w:cs="Arial" w:eastAsia="Arial" w:hAnsi="Arial"/>
          <w:sz w:val="22"/>
          <w:szCs w:val="22"/>
        </w:rPr>
        <w:t xml:space="preserve">Right to Rectification (Art. 16): Request correction of inaccurate or incomplete data.</w:t>
      </w:r>
    </w:p>
    <w:p>
      <w:pPr>
        <w:pStyle w:val="ListParagraph"/>
        <w:numPr>
          <w:ilvl w:val="0"/>
          <w:numId w:val="2"/>
        </w:numPr>
        <w:spacing w:after="80"/>
      </w:pPr>
      <w:r>
        <w:rPr>
          <w:rFonts w:ascii="Arial" w:cs="Arial" w:eastAsia="Arial" w:hAnsi="Arial"/>
          <w:sz w:val="22"/>
          <w:szCs w:val="22"/>
        </w:rPr>
        <w:t xml:space="preserve">Right to Erasure / Right to be Forgotten (Art. 17): Request deletion of your data where it is no longer necessary, consent has been withdrawn, or processing is unlawful.</w:t>
      </w:r>
    </w:p>
    <w:p>
      <w:pPr>
        <w:pStyle w:val="ListParagraph"/>
        <w:numPr>
          <w:ilvl w:val="0"/>
          <w:numId w:val="2"/>
        </w:numPr>
        <w:spacing w:after="80"/>
      </w:pPr>
      <w:r>
        <w:rPr>
          <w:rFonts w:ascii="Arial" w:cs="Arial" w:eastAsia="Arial" w:hAnsi="Arial"/>
          <w:sz w:val="22"/>
          <w:szCs w:val="22"/>
        </w:rPr>
        <w:t xml:space="preserve">Right to Restriction of Processing (Art. 18): Request that we limit how we process your data in certain situations.</w:t>
      </w:r>
    </w:p>
    <w:p>
      <w:pPr>
        <w:pStyle w:val="ListParagraph"/>
        <w:numPr>
          <w:ilvl w:val="0"/>
          <w:numId w:val="2"/>
        </w:numPr>
        <w:spacing w:after="80"/>
      </w:pPr>
      <w:r>
        <w:rPr>
          <w:rFonts w:ascii="Arial" w:cs="Arial" w:eastAsia="Arial" w:hAnsi="Arial"/>
          <w:sz w:val="22"/>
          <w:szCs w:val="22"/>
        </w:rPr>
        <w:t xml:space="preserve">Right to Data Portability (Art. 20): Request your data in a structured, machine-readable format.</w:t>
      </w:r>
    </w:p>
    <w:p>
      <w:pPr>
        <w:pStyle w:val="ListParagraph"/>
        <w:numPr>
          <w:ilvl w:val="0"/>
          <w:numId w:val="2"/>
        </w:numPr>
        <w:spacing w:after="80"/>
      </w:pPr>
      <w:r>
        <w:rPr>
          <w:rFonts w:ascii="Arial" w:cs="Arial" w:eastAsia="Arial" w:hAnsi="Arial"/>
          <w:sz w:val="22"/>
          <w:szCs w:val="22"/>
        </w:rPr>
        <w:t xml:space="preserve">Right to Object (Art. 21): Object to processing based on legitimate interests or for direct marketing.</w:t>
      </w:r>
    </w:p>
    <w:p>
      <w:pPr>
        <w:pStyle w:val="ListParagraph"/>
        <w:numPr>
          <w:ilvl w:val="0"/>
          <w:numId w:val="2"/>
        </w:numPr>
        <w:spacing w:after="80"/>
      </w:pPr>
      <w:r>
        <w:rPr>
          <w:rFonts w:ascii="Arial" w:cs="Arial" w:eastAsia="Arial" w:hAnsi="Arial"/>
          <w:sz w:val="22"/>
          <w:szCs w:val="22"/>
        </w:rPr>
        <w:t xml:space="preserve">Right to Withdraw Consent (Art. 7(3)): Withdraw consent at any time. This does not affect the lawfulness of processing before withdrawal.</w:t>
      </w:r>
    </w:p>
    <w:p>
      <w:pPr>
        <w:pStyle w:val="ListParagraph"/>
        <w:numPr>
          <w:ilvl w:val="0"/>
          <w:numId w:val="2"/>
        </w:numPr>
        <w:spacing w:after="80"/>
      </w:pPr>
      <w:r>
        <w:rPr>
          <w:rFonts w:ascii="Arial" w:cs="Arial" w:eastAsia="Arial" w:hAnsi="Arial"/>
          <w:sz w:val="22"/>
          <w:szCs w:val="22"/>
        </w:rPr>
        <w:t xml:space="preserve">Right to Lodge a Complaint (Art. 77): Lodge a complaint with a supervisory authority if you believe your rights have been violated.</w:t>
      </w:r>
    </w:p>
    <w:p>
      <w:pPr>
        <w:spacing w:after="100"/>
      </w:pPr>
    </w:p>
    <w:p>
      <w:pPr>
        <w:pStyle w:val="Heading1"/>
        <w:spacing w:after="140" w:before="320"/>
      </w:pPr>
      <w:r>
        <w:rPr>
          <w:rFonts w:ascii="Arial" w:cs="Arial" w:eastAsia="Arial" w:hAnsi="Arial"/>
          <w:b/>
          <w:bCs/>
          <w:sz w:val="26"/>
          <w:szCs w:val="26"/>
        </w:rPr>
        <w:t xml:space="preserve">3. How to Exercise Your Rights</w:t>
      </w:r>
    </w:p>
    <w:p>
      <w:pPr>
        <w:spacing w:after="140"/>
        <w:jc w:val="both"/>
      </w:pPr>
      <w:r>
        <w:rPr>
          <w:rFonts w:ascii="Arial" w:cs="Arial" w:eastAsia="Arial" w:hAnsi="Arial"/>
          <w:sz w:val="22"/>
          <w:szCs w:val="22"/>
        </w:rPr>
        <w:t xml:space="preserve">To exercise any of your GDPR rights, please contact us:</w:t>
      </w:r>
    </w:p>
    <w:p>
      <w:pPr>
        <w:spacing w:after="140"/>
        <w:jc w:val="both"/>
      </w:pPr>
      <w:r>
        <w:rPr>
          <w:rFonts w:ascii="Arial" w:cs="Arial" w:eastAsia="Arial" w:hAnsi="Arial"/>
          <w:b/>
          <w:bCs/>
          <w:sz w:val="22"/>
          <w:szCs w:val="22"/>
        </w:rPr>
        <w:t xml:space="preserve">Email: </w:t>
      </w:r>
      <w:r>
        <w:rPr>
          <w:rFonts w:ascii="Arial" w:cs="Arial" w:eastAsia="Arial" w:hAnsi="Arial"/>
          <w:sz w:val="22"/>
          <w:szCs w:val="22"/>
        </w:rPr>
        <w:t xml:space="preserve">kontakt@spontane.app</w:t>
      </w:r>
    </w:p>
    <w:p>
      <w:pPr>
        <w:spacing w:after="140"/>
        <w:jc w:val="both"/>
      </w:pPr>
      <w:r>
        <w:rPr>
          <w:rFonts w:ascii="Arial" w:cs="Arial" w:eastAsia="Arial" w:hAnsi="Arial"/>
          <w:sz w:val="22"/>
          <w:szCs w:val="22"/>
        </w:rPr>
        <w:t xml:space="preserve">Please include the subject line: "GDPR Request – [Your Right]"</w:t>
      </w:r>
    </w:p>
    <w:p>
      <w:pPr>
        <w:spacing w:after="140"/>
        <w:jc w:val="both"/>
      </w:pPr>
      <w:r>
        <w:rPr>
          <w:rFonts w:ascii="Arial" w:cs="Arial" w:eastAsia="Arial" w:hAnsi="Arial"/>
          <w:sz w:val="22"/>
          <w:szCs w:val="22"/>
        </w:rPr>
        <w:t xml:space="preserve">We will respond within 30 days. For complex requests, we may extend this by a further 60 days and will notify you accordingly, as permitted under Art. 12(3) GDPR.</w:t>
      </w:r>
    </w:p>
    <w:p>
      <w:pPr>
        <w:pStyle w:val="Heading1"/>
        <w:spacing w:after="140" w:before="320"/>
      </w:pPr>
      <w:r>
        <w:rPr>
          <w:rFonts w:ascii="Arial" w:cs="Arial" w:eastAsia="Arial" w:hAnsi="Arial"/>
          <w:b/>
          <w:bCs/>
          <w:sz w:val="26"/>
          <w:szCs w:val="26"/>
        </w:rPr>
        <w:t xml:space="preserve">4. Data Protection Measures</w:t>
      </w:r>
    </w:p>
    <w:p>
      <w:pPr>
        <w:spacing w:after="140"/>
        <w:jc w:val="both"/>
      </w:pPr>
      <w:r>
        <w:rPr>
          <w:rFonts w:ascii="Arial" w:cs="Arial" w:eastAsia="Arial" w:hAnsi="Arial"/>
          <w:sz w:val="22"/>
          <w:szCs w:val="22"/>
        </w:rPr>
        <w:t xml:space="preserve">We implement appropriate technical and organisational measures to protect your data, including:</w:t>
      </w:r>
    </w:p>
    <w:p>
      <w:pPr>
        <w:pStyle w:val="ListParagraph"/>
        <w:numPr>
          <w:ilvl w:val="0"/>
          <w:numId w:val="2"/>
        </w:numPr>
        <w:spacing w:after="80"/>
      </w:pPr>
      <w:r>
        <w:rPr>
          <w:rFonts w:ascii="Arial" w:cs="Arial" w:eastAsia="Arial" w:hAnsi="Arial"/>
          <w:sz w:val="22"/>
          <w:szCs w:val="22"/>
        </w:rPr>
        <w:t xml:space="preserve">TLS encryption for all data in transit</w:t>
      </w:r>
    </w:p>
    <w:p>
      <w:pPr>
        <w:pStyle w:val="ListParagraph"/>
        <w:numPr>
          <w:ilvl w:val="0"/>
          <w:numId w:val="2"/>
        </w:numPr>
        <w:spacing w:after="80"/>
      </w:pPr>
      <w:r>
        <w:rPr>
          <w:rFonts w:ascii="Arial" w:cs="Arial" w:eastAsia="Arial" w:hAnsi="Arial"/>
          <w:sz w:val="22"/>
          <w:szCs w:val="22"/>
        </w:rPr>
        <w:t xml:space="preserve">Encrypted storage via Supabase (EU-based infrastructure, Frankfurt)</w:t>
      </w:r>
    </w:p>
    <w:p>
      <w:pPr>
        <w:pStyle w:val="ListParagraph"/>
        <w:numPr>
          <w:ilvl w:val="0"/>
          <w:numId w:val="2"/>
        </w:numPr>
        <w:spacing w:after="80"/>
      </w:pPr>
      <w:r>
        <w:rPr>
          <w:rFonts w:ascii="Arial" w:cs="Arial" w:eastAsia="Arial" w:hAnsi="Arial"/>
          <w:sz w:val="22"/>
          <w:szCs w:val="22"/>
        </w:rPr>
        <w:t xml:space="preserve">Access controls and authentication mechanisms</w:t>
      </w:r>
    </w:p>
    <w:p>
      <w:pPr>
        <w:pStyle w:val="ListParagraph"/>
        <w:numPr>
          <w:ilvl w:val="0"/>
          <w:numId w:val="2"/>
        </w:numPr>
        <w:spacing w:after="80"/>
      </w:pPr>
      <w:r>
        <w:rPr>
          <w:rFonts w:ascii="Arial" w:cs="Arial" w:eastAsia="Arial" w:hAnsi="Arial"/>
          <w:sz w:val="22"/>
          <w:szCs w:val="22"/>
        </w:rPr>
        <w:t xml:space="preserve">Data minimisation – we collect only what is necessary</w:t>
      </w:r>
    </w:p>
    <w:p>
      <w:pPr>
        <w:pStyle w:val="ListParagraph"/>
        <w:numPr>
          <w:ilvl w:val="0"/>
          <w:numId w:val="2"/>
        </w:numPr>
        <w:spacing w:after="80"/>
      </w:pPr>
      <w:r>
        <w:rPr>
          <w:rFonts w:ascii="Arial" w:cs="Arial" w:eastAsia="Arial" w:hAnsi="Arial"/>
          <w:sz w:val="22"/>
          <w:szCs w:val="22"/>
        </w:rPr>
        <w:t xml:space="preserve">Regular review of data processing practices</w:t>
      </w:r>
    </w:p>
    <w:p>
      <w:pPr>
        <w:spacing w:after="100"/>
      </w:pPr>
    </w:p>
    <w:p>
      <w:pPr>
        <w:pStyle w:val="Heading1"/>
        <w:spacing w:after="140" w:before="320"/>
      </w:pPr>
      <w:r>
        <w:rPr>
          <w:rFonts w:ascii="Arial" w:cs="Arial" w:eastAsia="Arial" w:hAnsi="Arial"/>
          <w:b/>
          <w:bCs/>
          <w:sz w:val="26"/>
          <w:szCs w:val="26"/>
        </w:rPr>
        <w:t xml:space="preserve">5. Data Sharing and Third Parties</w:t>
      </w:r>
    </w:p>
    <w:p>
      <w:pPr>
        <w:spacing w:after="140"/>
        <w:jc w:val="both"/>
      </w:pPr>
      <w:r>
        <w:rPr>
          <w:rFonts w:ascii="Arial" w:cs="Arial" w:eastAsia="Arial" w:hAnsi="Arial"/>
          <w:sz w:val="22"/>
          <w:szCs w:val="22"/>
        </w:rPr>
        <w:t xml:space="preserve">We only share your data with:</w:t>
      </w:r>
    </w:p>
    <w:p>
      <w:pPr>
        <w:pStyle w:val="ListParagraph"/>
        <w:numPr>
          <w:ilvl w:val="0"/>
          <w:numId w:val="2"/>
        </w:numPr>
        <w:spacing w:after="80"/>
      </w:pPr>
      <w:r>
        <w:rPr>
          <w:rFonts w:ascii="Arial" w:cs="Arial" w:eastAsia="Arial" w:hAnsi="Arial"/>
          <w:sz w:val="22"/>
          <w:szCs w:val="22"/>
        </w:rPr>
        <w:t xml:space="preserve">Other Spontane users – profile information and shared location, only to the extent you have enabled this in the app.</w:t>
      </w:r>
    </w:p>
    <w:p>
      <w:pPr>
        <w:pStyle w:val="ListParagraph"/>
        <w:numPr>
          <w:ilvl w:val="0"/>
          <w:numId w:val="2"/>
        </w:numPr>
        <w:spacing w:after="80"/>
      </w:pPr>
      <w:r>
        <w:rPr>
          <w:rFonts w:ascii="Arial" w:cs="Arial" w:eastAsia="Arial" w:hAnsi="Arial"/>
          <w:sz w:val="22"/>
          <w:szCs w:val="22"/>
        </w:rPr>
        <w:t xml:space="preserve">Supabase Inc. – cloud infrastructure and database (EU data centre, Frankfurt). Data processing agreement in place pursuant to Art. 28 GDPR.</w:t>
      </w:r>
    </w:p>
    <w:p>
      <w:pPr>
        <w:pStyle w:val="ListParagraph"/>
        <w:numPr>
          <w:ilvl w:val="0"/>
          <w:numId w:val="2"/>
        </w:numPr>
        <w:spacing w:after="80"/>
      </w:pPr>
      <w:r>
        <w:rPr>
          <w:rFonts w:ascii="Arial" w:cs="Arial" w:eastAsia="Arial" w:hAnsi="Arial"/>
          <w:sz w:val="22"/>
          <w:szCs w:val="22"/>
        </w:rPr>
        <w:t xml:space="preserve">Vercel Inc. – website hosting (USA). Data processing agreement and Standard Contractual Clauses in place.</w:t>
      </w:r>
    </w:p>
    <w:p>
      <w:pPr>
        <w:pStyle w:val="ListParagraph"/>
        <w:numPr>
          <w:ilvl w:val="0"/>
          <w:numId w:val="2"/>
        </w:numPr>
        <w:spacing w:after="80"/>
      </w:pPr>
      <w:r>
        <w:rPr>
          <w:rFonts w:ascii="Arial" w:cs="Arial" w:eastAsia="Arial" w:hAnsi="Arial"/>
          <w:sz w:val="22"/>
          <w:szCs w:val="22"/>
        </w:rPr>
        <w:t xml:space="preserve">Resend – transactional email delivery. Data processing agreement in place.</w:t>
      </w:r>
    </w:p>
    <w:p>
      <w:pPr>
        <w:spacing w:after="100"/>
      </w:pPr>
    </w:p>
    <w:p>
      <w:pPr>
        <w:spacing w:after="140"/>
        <w:jc w:val="both"/>
      </w:pPr>
      <w:r>
        <w:rPr>
          <w:rFonts w:ascii="Arial" w:cs="Arial" w:eastAsia="Arial" w:hAnsi="Arial"/>
          <w:sz w:val="22"/>
          <w:szCs w:val="22"/>
        </w:rPr>
        <w:t xml:space="preserve">We do NOT sell or rent your personal data to third parties.</w:t>
      </w:r>
    </w:p>
    <w:p>
      <w:pPr>
        <w:pStyle w:val="Heading1"/>
        <w:spacing w:after="140" w:before="320"/>
      </w:pPr>
      <w:r>
        <w:rPr>
          <w:rFonts w:ascii="Arial" w:cs="Arial" w:eastAsia="Arial" w:hAnsi="Arial"/>
          <w:b/>
          <w:bCs/>
          <w:sz w:val="26"/>
          <w:szCs w:val="26"/>
        </w:rPr>
        <w:t xml:space="preserve">6. Data Retention</w:t>
      </w:r>
    </w:p>
    <w:p>
      <w:pPr>
        <w:spacing w:after="140"/>
        <w:jc w:val="both"/>
      </w:pPr>
      <w:r>
        <w:rPr>
          <w:rFonts w:ascii="Arial" w:cs="Arial" w:eastAsia="Arial" w:hAnsi="Arial"/>
          <w:sz w:val="22"/>
          <w:szCs w:val="22"/>
        </w:rPr>
        <w:t xml:space="preserve">We retain personal data only as long as necessary to provide our services and comply with legal obligations:</w:t>
      </w:r>
    </w:p>
    <w:p>
      <w:pPr>
        <w:pStyle w:val="ListParagraph"/>
        <w:numPr>
          <w:ilvl w:val="0"/>
          <w:numId w:val="2"/>
        </w:numPr>
        <w:spacing w:after="80"/>
      </w:pPr>
      <w:r>
        <w:rPr>
          <w:rFonts w:ascii="Arial" w:cs="Arial" w:eastAsia="Arial" w:hAnsi="Arial"/>
          <w:sz w:val="22"/>
          <w:szCs w:val="22"/>
        </w:rPr>
        <w:t xml:space="preserve">Active accounts: Data retained for the duration of your use of the platform.</w:t>
      </w:r>
    </w:p>
    <w:p>
      <w:pPr>
        <w:pStyle w:val="ListParagraph"/>
        <w:numPr>
          <w:ilvl w:val="0"/>
          <w:numId w:val="2"/>
        </w:numPr>
        <w:spacing w:after="80"/>
      </w:pPr>
      <w:r>
        <w:rPr>
          <w:rFonts w:ascii="Arial" w:cs="Arial" w:eastAsia="Arial" w:hAnsi="Arial"/>
          <w:sz w:val="22"/>
          <w:szCs w:val="22"/>
        </w:rPr>
        <w:t xml:space="preserve">Inactive accounts: Accounts inactive for more than 12 months may be deleted after prior notification.</w:t>
      </w:r>
    </w:p>
    <w:p>
      <w:pPr>
        <w:pStyle w:val="ListParagraph"/>
        <w:numPr>
          <w:ilvl w:val="0"/>
          <w:numId w:val="2"/>
        </w:numPr>
        <w:spacing w:after="80"/>
      </w:pPr>
      <w:r>
        <w:rPr>
          <w:rFonts w:ascii="Arial" w:cs="Arial" w:eastAsia="Arial" w:hAnsi="Arial"/>
          <w:sz w:val="22"/>
          <w:szCs w:val="22"/>
        </w:rPr>
        <w:t xml:space="preserve">Deletion requests: Processed within 30 days.</w:t>
      </w:r>
    </w:p>
    <w:p>
      <w:pPr>
        <w:pStyle w:val="ListParagraph"/>
        <w:numPr>
          <w:ilvl w:val="0"/>
          <w:numId w:val="2"/>
        </w:numPr>
        <w:spacing w:after="80"/>
      </w:pPr>
      <w:r>
        <w:rPr>
          <w:rFonts w:ascii="Arial" w:cs="Arial" w:eastAsia="Arial" w:hAnsi="Arial"/>
          <w:sz w:val="22"/>
          <w:szCs w:val="22"/>
        </w:rPr>
        <w:t xml:space="preserve">Chat messages: Deleted within 30 days after both participating accounts are deleted.</w:t>
      </w:r>
    </w:p>
    <w:p>
      <w:pPr>
        <w:pStyle w:val="ListParagraph"/>
        <w:numPr>
          <w:ilvl w:val="0"/>
          <w:numId w:val="2"/>
        </w:numPr>
        <w:spacing w:after="80"/>
      </w:pPr>
      <w:r>
        <w:rPr>
          <w:rFonts w:ascii="Arial" w:cs="Arial" w:eastAsia="Arial" w:hAnsi="Arial"/>
          <w:sz w:val="22"/>
          <w:szCs w:val="22"/>
        </w:rPr>
        <w:t xml:space="preserve">Legal requirements: Certain data may be retained longer if required by law.</w:t>
      </w:r>
    </w:p>
    <w:p>
      <w:pPr>
        <w:spacing w:after="100"/>
      </w:pPr>
    </w:p>
    <w:p>
      <w:pPr>
        <w:pStyle w:val="Heading1"/>
        <w:spacing w:after="140" w:before="320"/>
      </w:pPr>
      <w:r>
        <w:rPr>
          <w:rFonts w:ascii="Arial" w:cs="Arial" w:eastAsia="Arial" w:hAnsi="Arial"/>
          <w:b/>
          <w:bCs/>
          <w:sz w:val="26"/>
          <w:szCs w:val="26"/>
        </w:rPr>
        <w:t xml:space="preserve">7. International Data Transfers</w:t>
      </w:r>
    </w:p>
    <w:p>
      <w:pPr>
        <w:spacing w:after="140"/>
        <w:jc w:val="both"/>
      </w:pPr>
      <w:r>
        <w:rPr>
          <w:rFonts w:ascii="Arial" w:cs="Arial" w:eastAsia="Arial" w:hAnsi="Arial"/>
          <w:sz w:val="22"/>
          <w:szCs w:val="22"/>
        </w:rPr>
        <w:t xml:space="preserve">Some of our service providers (Vercel, Resend) are based outside the EU. We ensure appropriate safeguards through:</w:t>
      </w:r>
    </w:p>
    <w:p>
      <w:pPr>
        <w:pStyle w:val="ListParagraph"/>
        <w:numPr>
          <w:ilvl w:val="0"/>
          <w:numId w:val="2"/>
        </w:numPr>
        <w:spacing w:after="80"/>
      </w:pPr>
      <w:r>
        <w:rPr>
          <w:rFonts w:ascii="Arial" w:cs="Arial" w:eastAsia="Arial" w:hAnsi="Arial"/>
          <w:sz w:val="22"/>
          <w:szCs w:val="22"/>
        </w:rPr>
        <w:t xml:space="preserve">Standard Contractual Clauses (SCCs) approved by the European Commission</w:t>
      </w:r>
    </w:p>
    <w:p>
      <w:pPr>
        <w:pStyle w:val="ListParagraph"/>
        <w:numPr>
          <w:ilvl w:val="0"/>
          <w:numId w:val="2"/>
        </w:numPr>
        <w:spacing w:after="80"/>
      </w:pPr>
      <w:r>
        <w:rPr>
          <w:rFonts w:ascii="Arial" w:cs="Arial" w:eastAsia="Arial" w:hAnsi="Arial"/>
          <w:sz w:val="22"/>
          <w:szCs w:val="22"/>
        </w:rPr>
        <w:t xml:space="preserve">EU-U.S. Data Privacy Framework (where applicable)</w:t>
      </w:r>
    </w:p>
    <w:p>
      <w:pPr>
        <w:pStyle w:val="ListParagraph"/>
        <w:numPr>
          <w:ilvl w:val="0"/>
          <w:numId w:val="2"/>
        </w:numPr>
        <w:spacing w:after="80"/>
      </w:pPr>
      <w:r>
        <w:rPr>
          <w:rFonts w:ascii="Arial" w:cs="Arial" w:eastAsia="Arial" w:hAnsi="Arial"/>
          <w:sz w:val="22"/>
          <w:szCs w:val="22"/>
        </w:rPr>
        <w:t xml:space="preserve">Use of providers with EU-based data centres where possible (Supabase: Frankfurt)</w:t>
      </w:r>
    </w:p>
    <w:p>
      <w:pPr>
        <w:spacing w:after="100"/>
      </w:pPr>
    </w:p>
    <w:p>
      <w:pPr>
        <w:pStyle w:val="Heading1"/>
        <w:spacing w:after="140" w:before="320"/>
      </w:pPr>
      <w:r>
        <w:rPr>
          <w:rFonts w:ascii="Arial" w:cs="Arial" w:eastAsia="Arial" w:hAnsi="Arial"/>
          <w:b/>
          <w:bCs/>
          <w:sz w:val="26"/>
          <w:szCs w:val="26"/>
        </w:rPr>
        <w:t xml:space="preserve">8. Children's Data</w:t>
      </w:r>
    </w:p>
    <w:p>
      <w:pPr>
        <w:spacing w:after="140"/>
        <w:jc w:val="both"/>
      </w:pPr>
      <w:r>
        <w:rPr>
          <w:rFonts w:ascii="Arial" w:cs="Arial" w:eastAsia="Arial" w:hAnsi="Arial"/>
          <w:sz w:val="22"/>
          <w:szCs w:val="22"/>
        </w:rPr>
        <w:t xml:space="preserve">Spontane is not intended for individuals under 18 years of age. We do not knowingly collect or process personal data from minors. If you believe we have inadvertently processed data relating to a minor, please contact us immediately at kontakt@spontane.app and we will delete it without delay.</w:t>
      </w:r>
    </w:p>
    <w:p>
      <w:pPr>
        <w:pStyle w:val="Heading1"/>
        <w:spacing w:after="140" w:before="320"/>
      </w:pPr>
      <w:r>
        <w:rPr>
          <w:rFonts w:ascii="Arial" w:cs="Arial" w:eastAsia="Arial" w:hAnsi="Arial"/>
          <w:b/>
          <w:bCs/>
          <w:sz w:val="26"/>
          <w:szCs w:val="26"/>
        </w:rPr>
        <w:t xml:space="preserve">9. Data Breach Notification</w:t>
      </w:r>
    </w:p>
    <w:p>
      <w:pPr>
        <w:spacing w:after="140"/>
        <w:jc w:val="both"/>
      </w:pPr>
      <w:r>
        <w:rPr>
          <w:rFonts w:ascii="Arial" w:cs="Arial" w:eastAsia="Arial" w:hAnsi="Arial"/>
          <w:sz w:val="22"/>
          <w:szCs w:val="22"/>
        </w:rPr>
        <w:t xml:space="preserve">In the event of a personal data breach that poses a risk to your rights and freedoms, we will:</w:t>
      </w:r>
    </w:p>
    <w:p>
      <w:pPr>
        <w:pStyle w:val="ListParagraph"/>
        <w:numPr>
          <w:ilvl w:val="0"/>
          <w:numId w:val="2"/>
        </w:numPr>
        <w:spacing w:after="80"/>
      </w:pPr>
      <w:r>
        <w:rPr>
          <w:rFonts w:ascii="Arial" w:cs="Arial" w:eastAsia="Arial" w:hAnsi="Arial"/>
          <w:sz w:val="22"/>
          <w:szCs w:val="22"/>
        </w:rPr>
        <w:t xml:space="preserve">Notify the competent supervisory authority (HBDI, Wiesbaden) within 72 hours of becoming aware of the breach, as required by Art. 33 GDPR.</w:t>
      </w:r>
    </w:p>
    <w:p>
      <w:pPr>
        <w:pStyle w:val="ListParagraph"/>
        <w:numPr>
          <w:ilvl w:val="0"/>
          <w:numId w:val="2"/>
        </w:numPr>
        <w:spacing w:after="80"/>
      </w:pPr>
      <w:r>
        <w:rPr>
          <w:rFonts w:ascii="Arial" w:cs="Arial" w:eastAsia="Arial" w:hAnsi="Arial"/>
          <w:sz w:val="22"/>
          <w:szCs w:val="22"/>
        </w:rPr>
        <w:t xml:space="preserve">Notify affected users without undue delay where the breach poses a high risk to their rights and freedoms (Art. 34 GDPR).</w:t>
      </w:r>
    </w:p>
    <w:p>
      <w:pPr>
        <w:pStyle w:val="ListParagraph"/>
        <w:numPr>
          <w:ilvl w:val="0"/>
          <w:numId w:val="2"/>
        </w:numPr>
        <w:spacing w:after="80"/>
      </w:pPr>
      <w:r>
        <w:rPr>
          <w:rFonts w:ascii="Arial" w:cs="Arial" w:eastAsia="Arial" w:hAnsi="Arial"/>
          <w:sz w:val="22"/>
          <w:szCs w:val="22"/>
        </w:rPr>
        <w:t xml:space="preserve">Provide clear information about the nature of the breach, its likely consequences, and the measures taken.</w:t>
      </w:r>
    </w:p>
    <w:p>
      <w:pPr>
        <w:spacing w:after="100"/>
      </w:pPr>
    </w:p>
    <w:p>
      <w:pPr>
        <w:pStyle w:val="Heading1"/>
        <w:spacing w:after="140" w:before="320"/>
      </w:pPr>
      <w:r>
        <w:rPr>
          <w:rFonts w:ascii="Arial" w:cs="Arial" w:eastAsia="Arial" w:hAnsi="Arial"/>
          <w:b/>
          <w:bCs/>
          <w:sz w:val="26"/>
          <w:szCs w:val="26"/>
        </w:rPr>
        <w:t xml:space="preserve">10. Cookies and Tracking</w:t>
      </w:r>
    </w:p>
    <w:p>
      <w:pPr>
        <w:spacing w:after="140"/>
        <w:jc w:val="both"/>
      </w:pPr>
      <w:r>
        <w:rPr>
          <w:rFonts w:ascii="Arial" w:cs="Arial" w:eastAsia="Arial" w:hAnsi="Arial"/>
          <w:sz w:val="22"/>
          <w:szCs w:val="22"/>
        </w:rPr>
        <w:t xml:space="preserve">Our website uses Vercel Analytics, which collects anonymised, aggregated data (page views, device type, referrer) without setting cookies or creating personal profiles. No consent banner is required for this. No other tracking or advertising cookies are used. If this changes, this policy will be updated and a consent mechanism will be implemented.</w:t>
      </w:r>
    </w:p>
    <w:p>
      <w:pPr>
        <w:pStyle w:val="Heading1"/>
        <w:spacing w:after="140" w:before="320"/>
      </w:pPr>
      <w:r>
        <w:rPr>
          <w:rFonts w:ascii="Arial" w:cs="Arial" w:eastAsia="Arial" w:hAnsi="Arial"/>
          <w:b/>
          <w:bCs/>
          <w:sz w:val="26"/>
          <w:szCs w:val="26"/>
        </w:rPr>
        <w:t xml:space="preserve">11. Supervisory Authority</w:t>
      </w:r>
    </w:p>
    <w:p>
      <w:pPr>
        <w:spacing w:after="140"/>
        <w:jc w:val="both"/>
      </w:pPr>
      <w:r>
        <w:rPr>
          <w:rFonts w:ascii="Arial" w:cs="Arial" w:eastAsia="Arial" w:hAnsi="Arial"/>
          <w:sz w:val="22"/>
          <w:szCs w:val="22"/>
        </w:rPr>
        <w:t xml:space="preserve">If you believe your data protection rights have been violated, you can lodge a complaint with the competent supervisory authority:</w:t>
      </w:r>
    </w:p>
    <w:p>
      <w:pPr>
        <w:spacing w:after="60"/>
      </w:pPr>
      <w:r>
        <w:rPr>
          <w:rFonts w:ascii="Arial" w:cs="Arial" w:eastAsia="Arial" w:hAnsi="Arial"/>
          <w:b/>
          <w:bCs/>
          <w:sz w:val="22"/>
          <w:szCs w:val="22"/>
        </w:rPr>
        <w:t xml:space="preserve">Der Hessische Beauftragte fur Datenschutz und Informationsfreiheit (HBDI)</w:t>
      </w:r>
    </w:p>
    <w:p>
      <w:pPr>
        <w:spacing w:after="140"/>
        <w:jc w:val="both"/>
      </w:pPr>
      <w:r>
        <w:rPr>
          <w:rFonts w:ascii="Arial" w:cs="Arial" w:eastAsia="Arial" w:hAnsi="Arial"/>
          <w:sz w:val="22"/>
          <w:szCs w:val="22"/>
        </w:rPr>
        <w:t xml:space="preserve">Gustav-Stresemann-Ring 1
65189 Wiesbaden, Germany
https://datenschutz.hessen.de</w:t>
      </w:r>
    </w:p>
    <w:p>
      <w:pPr>
        <w:pStyle w:val="Heading1"/>
        <w:spacing w:after="140" w:before="320"/>
      </w:pPr>
      <w:r>
        <w:rPr>
          <w:rFonts w:ascii="Arial" w:cs="Arial" w:eastAsia="Arial" w:hAnsi="Arial"/>
          <w:b/>
          <w:bCs/>
          <w:sz w:val="26"/>
          <w:szCs w:val="26"/>
        </w:rPr>
        <w:t xml:space="preserve">12. Contact</w:t>
      </w:r>
    </w:p>
    <w:p>
      <w:pPr>
        <w:spacing w:after="140"/>
        <w:jc w:val="both"/>
      </w:pPr>
      <w:r>
        <w:rPr>
          <w:rFonts w:ascii="Arial" w:cs="Arial" w:eastAsia="Arial" w:hAnsi="Arial"/>
          <w:sz w:val="22"/>
          <w:szCs w:val="22"/>
        </w:rPr>
        <w:t xml:space="preserve">For all GDPR-related inquiries or to exercise your rights:</w:t>
      </w:r>
    </w:p>
    <w:p>
      <w:pPr>
        <w:spacing w:after="140"/>
        <w:jc w:val="both"/>
      </w:pPr>
      <w:r>
        <w:rPr>
          <w:rFonts w:ascii="Arial" w:cs="Arial" w:eastAsia="Arial" w:hAnsi="Arial"/>
          <w:b/>
          <w:bCs/>
          <w:sz w:val="22"/>
          <w:szCs w:val="22"/>
        </w:rPr>
        <w:t xml:space="preserve">Data Controller: </w:t>
      </w:r>
      <w:r>
        <w:rPr>
          <w:rFonts w:ascii="Arial" w:cs="Arial" w:eastAsia="Arial" w:hAnsi="Arial"/>
          <w:sz w:val="22"/>
          <w:szCs w:val="22"/>
        </w:rPr>
        <w:t xml:space="preserve">Rana Namli</w:t>
      </w:r>
    </w:p>
    <w:p>
      <w:pPr>
        <w:spacing w:after="140"/>
        <w:jc w:val="both"/>
      </w:pPr>
      <w:r>
        <w:rPr>
          <w:rFonts w:ascii="Arial" w:cs="Arial" w:eastAsia="Arial" w:hAnsi="Arial"/>
          <w:b/>
          <w:bCs/>
          <w:sz w:val="22"/>
          <w:szCs w:val="22"/>
        </w:rPr>
        <w:t xml:space="preserve">Address: </w:t>
      </w:r>
      <w:r>
        <w:rPr>
          <w:rFonts w:ascii="Arial" w:cs="Arial" w:eastAsia="Arial" w:hAnsi="Arial"/>
          <w:sz w:val="22"/>
          <w:szCs w:val="22"/>
        </w:rPr>
        <w:t xml:space="preserve">Grosse Bleiche 5, 65719 Hofheim am Taunus, Germany</w:t>
      </w:r>
    </w:p>
    <w:p>
      <w:pPr>
        <w:spacing w:after="140"/>
        <w:jc w:val="both"/>
      </w:pPr>
      <w:r>
        <w:rPr>
          <w:rFonts w:ascii="Arial" w:cs="Arial" w:eastAsia="Arial" w:hAnsi="Arial"/>
          <w:b/>
          <w:bCs/>
          <w:sz w:val="22"/>
          <w:szCs w:val="22"/>
        </w:rPr>
        <w:t xml:space="preserve">Email: </w:t>
      </w:r>
      <w:r>
        <w:rPr>
          <w:rFonts w:ascii="Arial" w:cs="Arial" w:eastAsia="Arial" w:hAnsi="Arial"/>
          <w:sz w:val="22"/>
          <w:szCs w:val="22"/>
        </w:rPr>
        <w:t xml:space="preserve">kontakt@spontane.app</w:t>
      </w:r>
    </w:p>
    <w:p>
      <w:pPr>
        <w:spacing w:after="100"/>
      </w:pPr>
    </w:p>
    <w:p>
      <w:pPr>
        <w:spacing w:after="140"/>
        <w:jc w:val="both"/>
      </w:pPr>
      <w:r>
        <w:rPr>
          <w:rFonts w:ascii="Arial" w:cs="Arial" w:eastAsia="Arial" w:hAnsi="Arial"/>
          <w:sz w:val="22"/>
          <w:szCs w:val="22"/>
        </w:rPr>
        <w:t xml:space="preserve">Note: Spontane is operated by a private individual and does not have a formally appointed Data Protection Officer (DPO), as this is not required under Art. 37 GDPR for operators of this scale. The data controller is directly responsible for all data protection matters.</w:t>
      </w:r>
    </w:p>
    <w:p>
      <w:pPr>
        <w:pStyle w:val="Heading1"/>
        <w:spacing w:after="140" w:before="320"/>
      </w:pPr>
      <w:r>
        <w:rPr>
          <w:rFonts w:ascii="Arial" w:cs="Arial" w:eastAsia="Arial" w:hAnsi="Arial"/>
          <w:b/>
          <w:bCs/>
          <w:sz w:val="26"/>
          <w:szCs w:val="26"/>
        </w:rPr>
        <w:t xml:space="preserve">13. Updates to this Document</w:t>
      </w:r>
    </w:p>
    <w:p>
      <w:pPr>
        <w:spacing w:after="140"/>
        <w:jc w:val="both"/>
      </w:pPr>
      <w:r>
        <w:rPr>
          <w:rFonts w:ascii="Arial" w:cs="Arial" w:eastAsia="Arial" w:hAnsi="Arial"/>
          <w:sz w:val="22"/>
          <w:szCs w:val="22"/>
        </w:rPr>
        <w:t xml:space="preserve">This GDPR Commitment page will be updated to reflect changes in our data processing practices, applicable law, or the services we offer. The current version is always available at https://www.spontane.app. Last updated: June 2026.</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2026-06-04T12:45:23.408Z</dcterms:created>
  <dcterms:modified xsi:type="dcterms:W3CDTF">2026-06-04T12:45:23.422Z</dcterms:modified>
</cp:coreProperties>
</file>

<file path=docProps/custom.xml><?xml version="1.0" encoding="utf-8"?>
<Properties xmlns="http://schemas.openxmlformats.org/officeDocument/2006/custom-properties" xmlns:vt="http://schemas.openxmlformats.org/officeDocument/2006/docPropsVTypes"/>
</file>