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SupportNova Sample Policy – DOCX Extraction Smoke Test</w:t>
      </w:r>
    </w:p>
    <w:p>
      <w:r>
        <w:t>Policy ID: DOCX-SMOKE-01 | Version: 1.0 | Effective: 2026-09-26</w:t>
      </w:r>
    </w:p>
    <w:p>
      <w:pPr>
        <w:pStyle w:val="Heading2"/>
      </w:pPr>
      <w:r>
        <w:t>1. Safety Escalation</w:t>
      </w:r>
    </w:p>
    <w:p>
      <w:r>
        <w:t>Any report of smoke, fire, sparks, or a swollen battery requires immediate safety escalation and reviewer intervention.</w:t>
      </w:r>
    </w:p>
    <w:p>
      <w:pPr>
        <w:pStyle w:val="Heading2"/>
      </w:pPr>
      <w:r>
        <w:t>2. Refund Handling</w:t>
      </w:r>
    </w:p>
    <w:p>
      <w:r>
        <w:t>Agents must verify the order and applicable refund policy before promising a refund. Unsupported refund guarantees are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