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b w:val="1"/>
          <w:bCs w:val="1"/>
        </w:rPr>
        <w:t xml:space="preserve">Internship</w:t>
      </w:r>
    </w:p>
    <w:p>
      <w:pPr/>
      <w:r>
        <w:rPr/>
        <w:t xml:space="preserve">My Internship journey started at Tappware Solutions Limited (TSL). This chapter provides an in-depth exploration of TSL, unraveling the rich tapestry of its traditions, culture, and operational dynamics. From an exhaustive overview and core activities to insights into its workflow, employment conventions, and training initiatives, this company profile delivers a holistic outlook on what defines Tappware as an industry. It performs as a gateway to understanding the nuances of its day-to-day operations, leadership ethos, and the specific characteristics that contribute to its uniqueness in the professional landscape.</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2024-01-23T07:31:18+00:00</dcterms:created>
  <dcterms:modified xsi:type="dcterms:W3CDTF">2024-01-23T07:31:18+00:00</dcterms:modified>
</cp:coreProperties>
</file>

<file path=docProps/custom.xml><?xml version="1.0" encoding="utf-8"?>
<Properties xmlns="http://schemas.openxmlformats.org/officeDocument/2006/custom-properties" xmlns:vt="http://schemas.openxmlformats.org/officeDocument/2006/docPropsVTypes"/>
</file>