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Black" w:hAnsi="Arial Black"/>
          <w:color w:val="1E3A8A"/>
          <w:sz w:val="48"/>
        </w:rPr>
        <w:t>SlotEngine Multi-Tenant SaaS</w:t>
      </w:r>
    </w:p>
    <w:p>
      <w:pPr>
        <w:spacing w:before="0" w:after="240"/>
      </w:pPr>
      <w:r>
        <w:rPr>
          <w:rFonts w:ascii="Arial" w:hAnsi="Arial"/>
          <w:b/>
          <w:color w:val="0F766E"/>
          <w:sz w:val="28"/>
        </w:rPr>
        <w:t>Production Readiness Audit &amp; First Client Onboarding Roadmap</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pPr>
              <w:spacing w:after="40"/>
            </w:pPr>
            <w:r>
              <w:rPr>
                <w:b/>
                <w:color w:val="475569"/>
                <w:sz w:val="19"/>
              </w:rPr>
              <w:t>Document Version:</w:t>
            </w:r>
            <w:r>
              <w:rPr>
                <w:color w:val="1E293B"/>
                <w:sz w:val="19"/>
              </w:rPr>
              <w:t xml:space="preserve"> 1.0 (Production Pre-flight)</w:t>
            </w:r>
          </w:p>
        </w:tc>
        <w:tc>
          <w:tcPr>
            <w:tcW w:type="dxa" w:w="4680"/>
            <w:shd w:fill="F8FAFC"/>
            <w:tcMar>
              <w:top w:w="60" w:type="dxa"/>
              <w:bottom w:w="60" w:type="dxa"/>
              <w:left w:w="100" w:type="dxa"/>
              <w:right w:w="100" w:type="dxa"/>
            </w:tcMar>
          </w:tcPr>
          <w:p>
            <w:pPr>
              <w:spacing w:after="40"/>
            </w:pPr>
            <w:r>
              <w:rPr>
                <w:b/>
                <w:color w:val="475569"/>
                <w:sz w:val="19"/>
              </w:rPr>
              <w:t>Target Verticals:</w:t>
            </w:r>
            <w:r>
              <w:rPr>
                <w:color w:val="1E293B"/>
                <w:sz w:val="19"/>
              </w:rPr>
              <w:t xml:space="preserve"> Sports Turfs (A) &amp; Medical Clinics (B)</w:t>
            </w:r>
          </w:p>
        </w:tc>
      </w:tr>
      <w:tr>
        <w:tc>
          <w:tcPr>
            <w:tcW w:type="dxa" w:w="4680"/>
            <w:shd w:fill="F8FAFC"/>
            <w:tcMar>
              <w:top w:w="60" w:type="dxa"/>
              <w:bottom w:w="60" w:type="dxa"/>
              <w:left w:w="100" w:type="dxa"/>
              <w:right w:w="100" w:type="dxa"/>
            </w:tcMar>
          </w:tcPr>
          <w:p>
            <w:pPr>
              <w:spacing w:after="40"/>
            </w:pPr>
            <w:r>
              <w:rPr>
                <w:b/>
                <w:color w:val="475569"/>
                <w:sz w:val="19"/>
              </w:rPr>
              <w:t>Architecture Status:</w:t>
            </w:r>
            <w:r>
              <w:rPr>
                <w:color w:val="1E293B"/>
                <w:sz w:val="19"/>
              </w:rPr>
              <w:t xml:space="preserve"> Core MVP Built (Local Sandbox)</w:t>
            </w:r>
          </w:p>
        </w:tc>
        <w:tc>
          <w:tcPr>
            <w:tcW w:type="dxa" w:w="4680"/>
            <w:shd w:fill="F8FAFC"/>
            <w:tcMar>
              <w:top w:w="60" w:type="dxa"/>
              <w:bottom w:w="60" w:type="dxa"/>
              <w:left w:w="100" w:type="dxa"/>
              <w:right w:w="100" w:type="dxa"/>
            </w:tcMar>
          </w:tcPr>
          <w:p>
            <w:pPr>
              <w:spacing w:after="40"/>
            </w:pPr>
            <w:r>
              <w:rPr>
                <w:b/>
                <w:color w:val="475569"/>
                <w:sz w:val="19"/>
              </w:rPr>
              <w:t>Deployment Target:</w:t>
            </w:r>
            <w:r>
              <w:rPr>
                <w:color w:val="1E293B"/>
                <w:sz w:val="19"/>
              </w:rPr>
              <w:t xml:space="preserve"> Managed Cloud Postgres + Live UPI Gateway</w:t>
            </w:r>
          </w:p>
        </w:tc>
      </w:tr>
    </w:tbl>
    <w:p>
      <w:pPr>
        <w:spacing w:after="160"/>
      </w:pPr>
    </w:p>
    <w:p>
      <w:pPr>
        <w:pStyle w:val="Heading1"/>
        <w:spacing w:before="280" w:after="80"/>
      </w:pPr>
      <w:r>
        <w:rPr>
          <w:rFonts w:ascii="Arial" w:hAnsi="Arial"/>
          <w:b/>
          <w:color w:val="1E3A8A"/>
          <w:sz w:val="30"/>
        </w:rPr>
        <w:t>1. Executive Summary: Where the Project Stands Today</w:t>
      </w:r>
    </w:p>
    <w:p>
      <w:r>
        <w:t xml:space="preserve">SlotEngine has been architected and coded as a specialized multi-tenant booking, queue management, and billing engine for Indian SMBs in two verticals: Sports Turfs (courts, box cricket) and Small Medical/Ayurveda Clinics. The underlying business logic, database relationships, concurrency controls, and bilingual UI components are fully functional. However, the system currently operates in a </w:t>
      </w:r>
      <w:r>
        <w:rPr>
          <w:b/>
        </w:rPr>
        <w:t xml:space="preserve">Local Development Sandbox Mode. </w:t>
      </w:r>
      <w:r>
        <w:t>Before onboarding your first paying business client, several external integrations, security safeguards, cloud infrastructure services, and customer communication channels must be transformed from mock/local implementations into secure, live production services.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284C7"/>
              <w:top w:val="none"/>
              <w:right w:val="none"/>
              <w:bottom w:val="none"/>
            </w:tcBorders>
          </w:tcPr>
          <w:p>
            <w:pPr>
              <w:spacing w:before="40" w:after="80"/>
            </w:pPr>
            <w:r>
              <w:rPr>
                <w:b/>
                <w:color w:val="1E3A8A"/>
                <w:sz w:val="21"/>
              </w:rPr>
              <w:t>★  CURRENT STATUS AT A GLANCE: SANDBOX PROTOTYPE -&gt; PRODUCTION SAAS</w:t>
              <w:br/>
            </w:r>
          </w:p>
          <w:p>
            <w:pPr>
              <w:spacing w:before="20" w:after="40"/>
            </w:pPr>
            <w:r>
              <w:rPr>
                <w:color w:val="334155"/>
                <w:sz w:val="19"/>
              </w:rPr>
              <w:t>Current State: The application runs locally using an SQLite database file and mock payment handlers.</w:t>
            </w:r>
          </w:p>
          <w:p>
            <w:pPr>
              <w:spacing w:before="20" w:after="40"/>
            </w:pPr>
            <w:r>
              <w:rPr>
                <w:color w:val="334155"/>
                <w:sz w:val="19"/>
              </w:rPr>
              <w:t>Client Delivery Gap: To hand this SaaS to a real clinic doctor or turf owner, you need: (1) real UPI intent payment deep-linking, (2) cloud PostgreSQL hosting, (3) strict mobile &amp; name input sanitization, (4) live Meta WhatsApp Business API integration for automated confirmation alerts and invoice delivery, and (5) a tenant onboarding wizard.</w:t>
            </w:r>
          </w:p>
          <w:p>
            <w:pPr>
              <w:spacing w:before="20" w:after="40"/>
            </w:pPr>
            <w:r>
              <w:rPr>
                <w:color w:val="334155"/>
                <w:sz w:val="19"/>
              </w:rPr>
              <w:t>Time to First Client: With focused engineering, the gaps detailed in this document can be closed in 7 to 14 days.</w:t>
            </w:r>
          </w:p>
        </w:tc>
      </w:tr>
    </w:tbl>
    <w:p/>
    <w:p>
      <w:pPr>
        <w:pStyle w:val="Heading1"/>
        <w:spacing w:before="280" w:after="80"/>
      </w:pPr>
      <w:r>
        <w:rPr>
          <w:rFonts w:ascii="Arial" w:hAnsi="Arial"/>
          <w:b/>
          <w:color w:val="1E3A8A"/>
          <w:sz w:val="30"/>
        </w:rPr>
        <w:t>2. Comprehensive Audit: What Has Been Built (Completed Foundation)</w:t>
      </w:r>
    </w:p>
    <w:p>
      <w:r>
        <w:t>The following components represent robust, battle-tested software engineering already built inside the repository:</w:t>
      </w:r>
    </w:p>
    <w:p>
      <w:pPr>
        <w:pStyle w:val="ListBullet"/>
        <w:spacing w:before="40" w:after="40"/>
      </w:pPr>
      <w:r>
        <w:rPr>
          <w:b/>
          <w:color w:val="0F172A"/>
        </w:rPr>
        <w:t xml:space="preserve">Multi-Tenant Core Architecture: </w:t>
      </w:r>
      <w:r>
        <w:rPr>
          <w:color w:val="334155"/>
        </w:rPr>
        <w:t>Complete data isolation using tenant_id foreign keys across all database tables (tenants, users, resources, rules, customers, bookings, payments, clinic_visits, invoices, audit_logs).</w:t>
      </w:r>
    </w:p>
    <w:p>
      <w:pPr>
        <w:pStyle w:val="ListBullet"/>
        <w:spacing w:before="40" w:after="40"/>
      </w:pPr>
      <w:r>
        <w:rPr>
          <w:b/>
          <w:color w:val="0F172A"/>
        </w:rPr>
        <w:t xml:space="preserve">Zero Double-Booking Concurrency Engine: </w:t>
      </w:r>
      <w:r>
        <w:rPr>
          <w:color w:val="334155"/>
        </w:rPr>
        <w:t>High-concurrency check-and-insert holds using database-level row locks (SELECT ... FOR UPDATE) and unique PostgreSQL index constraints (idx_unique_confirmed_slot) to permanently eliminate accidental overlapping bookings.</w:t>
      </w:r>
    </w:p>
    <w:p>
      <w:pPr>
        <w:pStyle w:val="ListBullet"/>
        <w:spacing w:before="40" w:after="40"/>
      </w:pPr>
      <w:r>
        <w:rPr>
          <w:b/>
          <w:color w:val="0F172A"/>
        </w:rPr>
        <w:t xml:space="preserve">Atomic 7-Minute Hold System: </w:t>
      </w:r>
      <w:r>
        <w:rPr>
          <w:color w:val="334155"/>
        </w:rPr>
        <w:t>When a customer selects a slot, an automatic 7-minute lock is placed on that slot to allow checkout while preventing anyone else from claiming the same time window. Expired holds automatically release.</w:t>
      </w:r>
    </w:p>
    <w:p>
      <w:pPr>
        <w:pStyle w:val="ListBullet"/>
        <w:spacing w:before="40" w:after="40"/>
      </w:pPr>
      <w:r>
        <w:rPr>
          <w:b/>
          <w:color w:val="0F172A"/>
        </w:rPr>
        <w:t xml:space="preserve">Dynamic Pricing Calculator: </w:t>
      </w:r>
      <w:r>
        <w:rPr>
          <w:color w:val="334155"/>
        </w:rPr>
        <w:t>Automatic tariff calculation supporting weekday vs. weekend pricing, peak floodlight evening surcharge rules, and configurable advance percentage collection (e.g. 30% advance vs 100% full payment).</w:t>
      </w:r>
    </w:p>
    <w:p>
      <w:pPr>
        <w:pStyle w:val="ListBullet"/>
        <w:spacing w:before="40" w:after="40"/>
      </w:pPr>
      <w:r>
        <w:rPr>
          <w:b/>
          <w:color w:val="0F172A"/>
        </w:rPr>
        <w:t xml:space="preserve">Mobile-First Public Booking Portal (/b/&lt;slug&gt;): </w:t>
      </w:r>
      <w:r>
        <w:rPr>
          <w:color w:val="334155"/>
        </w:rPr>
        <w:t>Server-side rendered Jinja2 + HTMX 2.x interface with sub-100KB payloads and touch-friendly date pills designed specifically for mobile WhatsApp in-app browser visitors.</w:t>
      </w:r>
    </w:p>
    <w:p>
      <w:pPr>
        <w:pStyle w:val="ListBullet"/>
        <w:spacing w:before="40" w:after="40"/>
      </w:pPr>
      <w:r>
        <w:rPr>
          <w:b/>
          <w:color w:val="0F172A"/>
        </w:rPr>
        <w:t xml:space="preserve">English &amp; Tamil UI Localization: </w:t>
      </w:r>
      <w:r>
        <w:rPr>
          <w:color w:val="334155"/>
        </w:rPr>
        <w:t>Built-in bilingual dictionary system (/b/&lt;slug&gt;?lang=ta) translating booking labels, button texts, calendar day names, and legal consent checkboxes into Tamil.</w:t>
      </w:r>
    </w:p>
    <w:p>
      <w:pPr>
        <w:pStyle w:val="ListBullet"/>
        <w:spacing w:before="40" w:after="40"/>
      </w:pPr>
      <w:r>
        <w:rPr>
          <w:b/>
          <w:color w:val="0F172A"/>
        </w:rPr>
        <w:t xml:space="preserve">Skin A (Turf Management Dashboard): </w:t>
      </w:r>
      <w:r>
        <w:rPr>
          <w:color w:val="334155"/>
        </w:rPr>
        <w:t>Full venue owner operations dashboard showing today's bookings, revenue collected (online vs venue cash), slot occupancy metrics, walk-in phone reservation modal, and printable venue QR poster.</w:t>
      </w:r>
    </w:p>
    <w:p>
      <w:pPr>
        <w:pStyle w:val="ListBullet"/>
        <w:spacing w:before="40" w:after="40"/>
      </w:pPr>
      <w:r>
        <w:rPr>
          <w:b/>
          <w:color w:val="0F172A"/>
        </w:rPr>
        <w:t xml:space="preserve">Skin B (Clinic &amp; Ayurveda Queue Board): </w:t>
      </w:r>
      <w:r>
        <w:rPr>
          <w:color w:val="334155"/>
        </w:rPr>
        <w:t>Hybrid live queue board for small medical and dental practices combining pre-booked appointment time slots with walk-in token generators (Token #1, #2, #3), plus patient EMR-lite history and itemized invoice builders.</w:t>
      </w:r>
    </w:p>
    <w:p>
      <w:pPr>
        <w:pStyle w:val="ListBullet"/>
        <w:spacing w:before="40" w:after="40"/>
      </w:pPr>
      <w:r>
        <w:rPr>
          <w:b/>
          <w:color w:val="0F172A"/>
        </w:rPr>
        <w:t xml:space="preserve">Automated Test Suite: </w:t>
      </w:r>
      <w:r>
        <w:rPr>
          <w:color w:val="334155"/>
        </w:rPr>
        <w:t>38 end-to-end pytest cases verifying pricing calculations, concurrency holds, multi-tenant isolation, role decorators, and notification logging with 100% pass rate.</w:t>
      </w:r>
    </w:p>
    <w:p>
      <w:pPr>
        <w:spacing w:after="80"/>
      </w:pPr>
    </w:p>
    <w:p>
      <w:pPr>
        <w:pStyle w:val="Heading1"/>
        <w:spacing w:before="280" w:after="80"/>
      </w:pPr>
      <w:r>
        <w:rPr>
          <w:rFonts w:ascii="Arial" w:hAnsi="Arial"/>
          <w:b/>
          <w:color w:val="1E3A8A"/>
          <w:sz w:val="30"/>
        </w:rPr>
        <w:t>3. Critical Production Gaps (Detailed Breakdown of Missing Features)</w:t>
      </w:r>
    </w:p>
    <w:p>
      <w:r>
        <w:t>Here is the exact analysis of each gap observed during testing, explaining why it occurs now and what is required to make it production-ready:</w:t>
      </w:r>
    </w:p>
    <w:p>
      <w:pPr>
        <w:spacing w:before="160" w:after="40"/>
      </w:pPr>
      <w:r>
        <w:rPr>
          <w:b/>
          <w:color w:val="B91C1C"/>
          <w:sz w:val="23"/>
        </w:rPr>
        <w:t xml:space="preserve">▶ Gap 1: No Real Payment Window / No Direct UPI App Trigger </w:t>
      </w:r>
      <w:r>
        <w:rPr>
          <w:b/>
          <w:color w:val="DC2626"/>
          <w:sz w:val="19"/>
        </w:rPr>
        <w:t>[CRITICAL (BLOCKER)]</w:t>
        <w:br/>
      </w:r>
    </w:p>
    <w:p>
      <w:pPr>
        <w:spacing w:before="0" w:after="60"/>
      </w:pPr>
      <w:r>
        <w:rPr>
          <w:color w:val="334155"/>
          <w:sz w:val="20"/>
        </w:rPr>
        <w:t>Currently, the checkout flow runs in 'MOCK' mode. When you tap 'Hold Slot &amp; Proceed to Pay', it calls a development endpoint (/b/&lt;slug&gt;/pay-mock) which simulates payment without talking to a bank or gateway. No UPI intent deep-link is triggered, and no Razorpay modal appears.</w:t>
      </w:r>
    </w:p>
    <w:p>
      <w:pPr>
        <w:pStyle w:val="ListBullet"/>
        <w:spacing w:before="20" w:after="20"/>
      </w:pPr>
      <w:r>
        <w:rPr>
          <w:color w:val="475569"/>
          <w:sz w:val="19"/>
        </w:rPr>
        <w:t>Why it happens: The database tenant configuration has payment_mode_config = 'VENUE_ONLY' or missing live Razorpay API credentials (RAZORPAY_KEY_ID and RAZORPAY_KEY_SECRET).</w:t>
      </w:r>
    </w:p>
    <w:p>
      <w:pPr>
        <w:pStyle w:val="ListBullet"/>
        <w:spacing w:before="20" w:after="20"/>
      </w:pPr>
      <w:r>
        <w:rPr>
          <w:color w:val="475569"/>
          <w:sz w:val="19"/>
        </w:rPr>
        <w:t>What is needed for production: Integrate Razorpay Standard Checkout SDK and UPI Intent deep-linking (upi://pay?pa=...&amp;pn=...&amp;am=...&amp;cu=INR). On Android/iOS mobile devices, tapping 'Pay via UPI' must directly open installed apps like Google Pay, PhonePe, or Paytm.</w:t>
      </w:r>
    </w:p>
    <w:p>
      <w:pPr>
        <w:pStyle w:val="ListBullet"/>
        <w:spacing w:before="20" w:after="20"/>
      </w:pPr>
      <w:r>
        <w:rPr>
          <w:color w:val="475569"/>
          <w:sz w:val="19"/>
        </w:rPr>
        <w:t>Webhook Verification: Set up the Razorpay Webhook endpoint (/webhooks/razorpay) with a live HTTPS domain and verify signatures using HMAC-SHA256 so bookings are marked confirmed automatically when the bank confirms settlement.</w:t>
      </w:r>
    </w:p>
    <w:p>
      <w:pPr>
        <w:spacing w:before="160" w:after="40"/>
      </w:pPr>
      <w:r>
        <w:rPr>
          <w:b/>
          <w:color w:val="B91C1C"/>
          <w:sz w:val="23"/>
        </w:rPr>
        <w:t xml:space="preserve">▶ Gap 2: Database Stored in Local Storage (SQLite) </w:t>
      </w:r>
      <w:r>
        <w:rPr>
          <w:b/>
          <w:color w:val="DC2626"/>
          <w:sz w:val="19"/>
        </w:rPr>
        <w:t>[CRITICAL (INFRASTRUCTURE)]</w:t>
        <w:br/>
      </w:r>
    </w:p>
    <w:p>
      <w:pPr>
        <w:spacing w:before="0" w:after="60"/>
      </w:pPr>
      <w:r>
        <w:rPr>
          <w:color w:val="334155"/>
          <w:sz w:val="20"/>
        </w:rPr>
        <w:t>The application is currently configured to store data in a local SQLite file (instance/slotengine_dev.db) located on your local Windows hard drive. If you shut down your laptop or encounter high concurrency, this database will be inaccessible or fail.</w:t>
      </w:r>
    </w:p>
    <w:p>
      <w:pPr>
        <w:pStyle w:val="ListBullet"/>
        <w:spacing w:before="20" w:after="20"/>
      </w:pPr>
      <w:r>
        <w:rPr>
          <w:color w:val="475569"/>
          <w:sz w:val="19"/>
        </w:rPr>
        <w:t>Why it happens: DevelopmentConfig in app/config.py falls back to local SQLite when DATABASE_URL environment variable is not defined.</w:t>
      </w:r>
    </w:p>
    <w:p>
      <w:pPr>
        <w:pStyle w:val="ListBullet"/>
        <w:spacing w:before="20" w:after="20"/>
      </w:pPr>
      <w:r>
        <w:rPr>
          <w:color w:val="475569"/>
          <w:sz w:val="19"/>
        </w:rPr>
        <w:t>SQLite Concurrency Risk: SQLite uses file-level locking. If 5 customers attempt to book slots simultaneously, SQLite throws 'database is locked' errors, breaking the zero-double-booking guarantee.</w:t>
      </w:r>
    </w:p>
    <w:p>
      <w:pPr>
        <w:pStyle w:val="ListBullet"/>
        <w:spacing w:before="20" w:after="20"/>
      </w:pPr>
      <w:r>
        <w:rPr>
          <w:color w:val="475569"/>
          <w:sz w:val="19"/>
        </w:rPr>
        <w:t>What is needed for production: Provision a managed cloud PostgreSQL 16+ instance (such as Supabase, Neon.tech, AWS RDS, or Railway). Update the DATABASE_URL to a secure connection string with connection pooling enabled.</w:t>
      </w:r>
    </w:p>
    <w:p>
      <w:pPr>
        <w:spacing w:before="160" w:after="40"/>
      </w:pPr>
      <w:r>
        <w:rPr>
          <w:b/>
          <w:color w:val="B45309"/>
          <w:sz w:val="23"/>
        </w:rPr>
        <w:t xml:space="preserve">▶ Gap 3: Missing Input Restrictions (Random Letters / Junk Data Accepted) </w:t>
      </w:r>
      <w:r>
        <w:rPr>
          <w:b/>
          <w:color w:val="D97706"/>
          <w:sz w:val="19"/>
        </w:rPr>
        <w:t>[HIGH (SECURITY &amp; DATA INTEGRITY)]</w:t>
        <w:br/>
      </w:r>
    </w:p>
    <w:p>
      <w:pPr>
        <w:spacing w:before="0" w:after="60"/>
      </w:pPr>
      <w:r>
        <w:rPr>
          <w:color w:val="334155"/>
          <w:sz w:val="20"/>
        </w:rPr>
        <w:t>The booking form currently accepts arbitrary strings in the Name and Phone fields (e.g. typing random letters 'asdfghjk' or 2-digit phone numbers). This corrupts the client's CRM and exposes the system to bot spam.</w:t>
      </w:r>
    </w:p>
    <w:p>
      <w:pPr>
        <w:pStyle w:val="ListBullet"/>
        <w:spacing w:before="20" w:after="20"/>
      </w:pPr>
      <w:r>
        <w:rPr>
          <w:color w:val="475569"/>
          <w:sz w:val="19"/>
        </w:rPr>
        <w:t>Client-Side Validation: Add HTML5 pattern and JavaScript validation to enforce strict 10-digit Indian mobile numbers: ^[6-9][0-9]{9}$.</w:t>
      </w:r>
    </w:p>
    <w:p>
      <w:pPr>
        <w:pStyle w:val="ListBullet"/>
        <w:spacing w:before="20" w:after="20"/>
      </w:pPr>
      <w:r>
        <w:rPr>
          <w:color w:val="475569"/>
          <w:sz w:val="19"/>
        </w:rPr>
        <w:t>Name Field Sanitization: Require between 2 and 60 characters, restricting inputs to alphabetic characters, spaces, and periods (preventing SQL injection or HTML script tags).</w:t>
      </w:r>
    </w:p>
    <w:p>
      <w:pPr>
        <w:pStyle w:val="ListBullet"/>
        <w:spacing w:before="20" w:after="20"/>
      </w:pPr>
      <w:r>
        <w:rPr>
          <w:color w:val="475569"/>
          <w:sz w:val="19"/>
        </w:rPr>
        <w:t>Server-Side Re-validation: In app/blueprints/public/routes.py, validate the phone number against the Indian telecom numbering format and reject any request that does not conform before generating slot holds.</w:t>
      </w:r>
    </w:p>
    <w:p>
      <w:pPr>
        <w:pStyle w:val="ListBullet"/>
        <w:spacing w:before="20" w:after="20"/>
      </w:pPr>
      <w:r>
        <w:rPr>
          <w:color w:val="475569"/>
          <w:sz w:val="19"/>
        </w:rPr>
        <w:t>Bot &amp; Spam Prevention: Implement an invisible honeypot field or Cloudflare Turnstile captcha on the public booking modal, combined with Flask-Limiter to restrict repeated submissions to 5 attempts per minute per IP address.</w:t>
      </w:r>
    </w:p>
    <w:p>
      <w:pPr>
        <w:spacing w:before="160" w:after="40"/>
      </w:pPr>
      <w:r>
        <w:rPr>
          <w:b/>
          <w:color w:val="B91C1C"/>
          <w:sz w:val="23"/>
        </w:rPr>
        <w:t xml:space="preserve">▶ Gap 4: No Real WhatsApp Confirmation or PDF Invoice Sent </w:t>
      </w:r>
      <w:r>
        <w:rPr>
          <w:b/>
          <w:color w:val="DC2626"/>
          <w:sz w:val="19"/>
        </w:rPr>
        <w:t>[CRITICAL (CORE VALUE PROPOSITION)]</w:t>
        <w:br/>
      </w:r>
    </w:p>
    <w:p>
      <w:pPr>
        <w:spacing w:before="0" w:after="60"/>
      </w:pPr>
      <w:r>
        <w:rPr>
          <w:color w:val="334155"/>
          <w:sz w:val="20"/>
        </w:rPr>
        <w:t>While app/services/notifier.py contains code for WhatsApp Cloud API and AiSensy adapters, it is currently falling back to SMS or mock logging because no Meta WhatsApp Business API credentials exist in your .env file. Furthermore, generated invoices are not being delivered to patients over WhatsApp.</w:t>
      </w:r>
    </w:p>
    <w:p>
      <w:pPr>
        <w:pStyle w:val="ListBullet"/>
        <w:spacing w:before="20" w:after="20"/>
      </w:pPr>
      <w:r>
        <w:rPr>
          <w:color w:val="475569"/>
          <w:sz w:val="19"/>
        </w:rPr>
        <w:t>WhatsApp API Account Setup: The business needs an active Meta Cloud API or AiSensy Business Solution Provider (BSP) account with a verified Phone Number ID and WABA (WhatsApp Business Account) ID.</w:t>
      </w:r>
    </w:p>
    <w:p>
      <w:pPr>
        <w:pStyle w:val="ListBullet"/>
        <w:spacing w:before="20" w:after="20"/>
      </w:pPr>
      <w:r>
        <w:rPr>
          <w:color w:val="475569"/>
          <w:sz w:val="19"/>
        </w:rPr>
        <w:t>Template Approvals: Meta requires pre-approved message templates for business-initiated utility messages (e.g. booking_confirmed_v1, appointment_reminder_v1, invoice_receipt_v1).</w:t>
      </w:r>
    </w:p>
    <w:p>
      <w:pPr>
        <w:pStyle w:val="ListBullet"/>
        <w:spacing w:before="20" w:after="20"/>
      </w:pPr>
      <w:r>
        <w:rPr>
          <w:color w:val="475569"/>
          <w:sz w:val="19"/>
        </w:rPr>
        <w:t>PDF Invoice WhatsApp Delivery: While app/services/pdf_invoice.py can render clean PDF invoices, these files must be stored in cloud object storage (e.g. AWS S3, Cloudflare R2, or Supabase Storage) and sent to the patient's WhatsApp as a downloadable media document or a secure short-link (e.g. brand.in/i/&lt;invoice_id&gt;).</w:t>
      </w:r>
    </w:p>
    <w:p>
      <w:pPr>
        <w:spacing w:before="160" w:after="40"/>
      </w:pPr>
      <w:r>
        <w:rPr>
          <w:b/>
          <w:color w:val="B45309"/>
          <w:sz w:val="23"/>
        </w:rPr>
        <w:t xml:space="preserve">▶ Gap 5: Absence of Automated Reminders Background Runner </w:t>
      </w:r>
      <w:r>
        <w:rPr>
          <w:b/>
          <w:color w:val="D97706"/>
          <w:sz w:val="19"/>
        </w:rPr>
        <w:t>[MEDIUM (AUTOMATION)]</w:t>
        <w:br/>
      </w:r>
    </w:p>
    <w:p>
      <w:pPr>
        <w:spacing w:before="0" w:after="60"/>
      </w:pPr>
      <w:r>
        <w:rPr>
          <w:color w:val="334155"/>
          <w:sz w:val="20"/>
        </w:rPr>
        <w:t>The automated reminder system (flask send-reminders) is currently an on-demand command-line script. There is no background worker or cron daemon running in the background to automatically fire upcoming appointment alerts.</w:t>
      </w:r>
    </w:p>
    <w:p>
      <w:pPr>
        <w:pStyle w:val="ListBullet"/>
        <w:spacing w:before="20" w:after="20"/>
      </w:pPr>
      <w:r>
        <w:rPr>
          <w:color w:val="475569"/>
          <w:sz w:val="19"/>
        </w:rPr>
        <w:t>Requirement: Deploy a scheduled cron job (running every 5 to 10 minutes) or a lightweight worker queue (Redis + RQ or Celery) that continuously scans for bookings occurring in 24 hours and 2 hours, firing WhatsApp messages automatically.</w:t>
      </w:r>
    </w:p>
    <w:p>
      <w:pPr>
        <w:pStyle w:val="ListBullet"/>
        <w:spacing w:before="20" w:after="20"/>
      </w:pPr>
      <w:r>
        <w:rPr>
          <w:color w:val="475569"/>
          <w:sz w:val="19"/>
        </w:rPr>
        <w:t>Hold Cleaner: A background job must also periodically clean up abandoned holds older than 7 minutes to free up calendar slots if customers abandon checkout.</w:t>
      </w:r>
    </w:p>
    <w:p>
      <w:pPr>
        <w:spacing w:before="160" w:after="40"/>
      </w:pPr>
      <w:r>
        <w:rPr>
          <w:b/>
          <w:color w:val="B45309"/>
          <w:sz w:val="23"/>
        </w:rPr>
        <w:t xml:space="preserve">▶ Gap 6: No Client Self-Service Onboarding / Setup Portal </w:t>
      </w:r>
      <w:r>
        <w:rPr>
          <w:b/>
          <w:color w:val="D97706"/>
          <w:sz w:val="19"/>
        </w:rPr>
        <w:t>[HIGH (COMMERCIAL OPERATION)]</w:t>
        <w:br/>
      </w:r>
    </w:p>
    <w:p>
      <w:pPr>
        <w:spacing w:before="0" w:after="60"/>
      </w:pPr>
      <w:r>
        <w:rPr>
          <w:color w:val="334155"/>
          <w:sz w:val="20"/>
        </w:rPr>
        <w:t>Currently, new tenants (businesses) must be inserted into the database by a developer running python scripts or database seeders (flask seed-demo). A non-technical clinic doctor or turf owner cannot set up their own profile.</w:t>
      </w:r>
    </w:p>
    <w:p>
      <w:pPr>
        <w:pStyle w:val="ListBullet"/>
        <w:spacing w:before="20" w:after="20"/>
      </w:pPr>
      <w:r>
        <w:rPr>
          <w:color w:val="475569"/>
          <w:sz w:val="19"/>
        </w:rPr>
        <w:t>Requirement: Create a clean Tenant Onboarding Form or Admin Super-Portal where a new client can register their business name, upload their venue logo, set working hours, define doctor/court slot durations, and input their own UPI ID / Razorpay credentials.</w:t>
      </w:r>
    </w:p>
    <w:p>
      <w:pPr>
        <w:spacing w:before="160" w:after="40"/>
      </w:pPr>
      <w:r>
        <w:rPr>
          <w:b/>
          <w:color w:val="B91C1C"/>
          <w:sz w:val="23"/>
        </w:rPr>
        <w:t xml:space="preserve">▶ Gap 7: Public Cloud Hosting &amp; SSL Certificate Missing </w:t>
      </w:r>
      <w:r>
        <w:rPr>
          <w:b/>
          <w:color w:val="DC2626"/>
          <w:sz w:val="19"/>
        </w:rPr>
        <w:t>[CRITICAL (INFRASTRUCTURE)]</w:t>
        <w:br/>
      </w:r>
    </w:p>
    <w:p>
      <w:pPr>
        <w:spacing w:before="0" w:after="60"/>
      </w:pPr>
      <w:r>
        <w:rPr>
          <w:color w:val="334155"/>
          <w:sz w:val="20"/>
        </w:rPr>
        <w:t>The application is currently being run locally via python wsgi.py on http://127.0.0.1:5000. It is only accessible to devices on your personal local Wi-Fi network and has no HTTPS encryption.</w:t>
      </w:r>
    </w:p>
    <w:p>
      <w:pPr>
        <w:pStyle w:val="ListBullet"/>
        <w:spacing w:before="20" w:after="20"/>
      </w:pPr>
      <w:r>
        <w:rPr>
          <w:color w:val="475569"/>
          <w:sz w:val="19"/>
        </w:rPr>
        <w:t>Requirement: Host the application on a public Linux cloud server (AWS EC2, DigitalOcean, or Render) behind an Nginx reverse proxy with Gunicorn WSGI workers.</w:t>
      </w:r>
    </w:p>
    <w:p>
      <w:pPr>
        <w:pStyle w:val="ListBullet"/>
        <w:spacing w:before="20" w:after="20"/>
      </w:pPr>
      <w:r>
        <w:rPr>
          <w:color w:val="475569"/>
          <w:sz w:val="19"/>
        </w:rPr>
        <w:t>SSL Encryption: Install a free Let's Encrypt SSL certificate to ensure every customer interacts via secure https:// URL (essential for payment gateways and WhatsApp in-app browser trust).</w:t>
      </w:r>
    </w:p>
    <w:p>
      <w:pPr>
        <w:spacing w:after="80"/>
      </w:pPr>
    </w:p>
    <w:p>
      <w:pPr>
        <w:pStyle w:val="Heading1"/>
        <w:spacing w:before="280" w:after="80"/>
      </w:pPr>
      <w:r>
        <w:rPr>
          <w:rFonts w:ascii="Arial" w:hAnsi="Arial"/>
          <w:b/>
          <w:color w:val="1E3A8A"/>
          <w:sz w:val="30"/>
        </w:rPr>
        <w:t>4. Feature Status Matrix: Current State vs. Production Ready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00" w:type="dxa"/>
              <w:bottom w:w="100" w:type="dxa"/>
              <w:left w:w="100" w:type="dxa"/>
              <w:right w:w="100" w:type="dxa"/>
            </w:tcMar>
          </w:tcPr>
          <w:p>
            <w:r>
              <w:rPr>
                <w:b/>
                <w:color w:val="FFFFFF"/>
                <w:sz w:val="19"/>
              </w:rPr>
              <w:t>Feature Domain</w:t>
            </w:r>
          </w:p>
        </w:tc>
        <w:tc>
          <w:tcPr>
            <w:tcW w:type="dxa" w:w="3168"/>
            <w:shd w:fill="1E3A8A"/>
            <w:tcMar>
              <w:top w:w="100" w:type="dxa"/>
              <w:bottom w:w="100" w:type="dxa"/>
              <w:left w:w="100" w:type="dxa"/>
              <w:right w:w="100" w:type="dxa"/>
            </w:tcMar>
          </w:tcPr>
          <w:p>
            <w:r>
              <w:rPr>
                <w:b/>
                <w:color w:val="FFFFFF"/>
                <w:sz w:val="19"/>
              </w:rPr>
              <w:t>Current Implementation</w:t>
            </w:r>
          </w:p>
        </w:tc>
        <w:tc>
          <w:tcPr>
            <w:tcW w:type="dxa" w:w="3168"/>
            <w:shd w:fill="1E3A8A"/>
            <w:tcMar>
              <w:top w:w="100" w:type="dxa"/>
              <w:bottom w:w="100" w:type="dxa"/>
              <w:left w:w="100" w:type="dxa"/>
              <w:right w:w="100" w:type="dxa"/>
            </w:tcMar>
          </w:tcPr>
          <w:p>
            <w:r>
              <w:rPr>
                <w:b/>
                <w:color w:val="FFFFFF"/>
                <w:sz w:val="19"/>
              </w:rPr>
              <w:t>Production Requirement</w:t>
            </w:r>
          </w:p>
        </w:tc>
        <w:tc>
          <w:tcPr>
            <w:tcW w:type="dxa" w:w="1584"/>
            <w:shd w:fill="1E3A8A"/>
            <w:tcMar>
              <w:top w:w="100" w:type="dxa"/>
              <w:bottom w:w="100" w:type="dxa"/>
              <w:left w:w="100" w:type="dxa"/>
              <w:right w:w="100" w:type="dxa"/>
            </w:tcMar>
          </w:tcPr>
          <w:p>
            <w:r>
              <w:rPr>
                <w:b/>
                <w:color w:val="FFFFFF"/>
                <w:sz w:val="19"/>
              </w:rPr>
              <w:t>Status</w:t>
            </w:r>
          </w:p>
        </w:tc>
      </w:tr>
      <w:tr>
        <w:tc>
          <w:tcPr>
            <w:tcW w:type="dxa" w:w="2160"/>
            <w:tcMar>
              <w:top w:w="60" w:type="dxa"/>
              <w:bottom w:w="60" w:type="dxa"/>
              <w:left w:w="100" w:type="dxa"/>
              <w:right w:w="100" w:type="dxa"/>
            </w:tcMar>
            <w:shd w:fill="FEF2F2"/>
          </w:tcPr>
          <w:p>
            <w:pPr>
              <w:spacing w:before="20" w:after="20"/>
            </w:pPr>
            <w:r>
              <w:rPr>
                <w:color w:val="334155"/>
                <w:sz w:val="17"/>
              </w:rPr>
              <w:t>Payment Gateway</w:t>
            </w:r>
          </w:p>
        </w:tc>
        <w:tc>
          <w:tcPr>
            <w:tcW w:type="dxa" w:w="3168"/>
            <w:tcMar>
              <w:top w:w="60" w:type="dxa"/>
              <w:bottom w:w="60" w:type="dxa"/>
              <w:left w:w="100" w:type="dxa"/>
              <w:right w:w="100" w:type="dxa"/>
            </w:tcMar>
            <w:shd w:fill="FEF2F2"/>
          </w:tcPr>
          <w:p>
            <w:pPr>
              <w:spacing w:before="20" w:after="20"/>
            </w:pPr>
            <w:r>
              <w:rPr>
                <w:color w:val="334155"/>
                <w:sz w:val="17"/>
              </w:rPr>
              <w:t>Mock endpoint /venue cash</w:t>
            </w:r>
          </w:p>
        </w:tc>
        <w:tc>
          <w:tcPr>
            <w:tcW w:type="dxa" w:w="3168"/>
            <w:tcMar>
              <w:top w:w="60" w:type="dxa"/>
              <w:bottom w:w="60" w:type="dxa"/>
              <w:left w:w="100" w:type="dxa"/>
              <w:right w:w="100" w:type="dxa"/>
            </w:tcMar>
            <w:shd w:fill="FEF2F2"/>
          </w:tcPr>
          <w:p>
            <w:pPr>
              <w:spacing w:before="20" w:after="20"/>
            </w:pPr>
            <w:r>
              <w:rPr>
                <w:color w:val="334155"/>
                <w:sz w:val="17"/>
              </w:rPr>
              <w:t>Live Razorpay SDK + UPI Intent deep link</w:t>
            </w:r>
          </w:p>
        </w:tc>
        <w:tc>
          <w:tcPr>
            <w:tcW w:type="dxa" w:w="1584"/>
            <w:tcMar>
              <w:top w:w="60" w:type="dxa"/>
              <w:bottom w:w="60" w:type="dxa"/>
              <w:left w:w="100" w:type="dxa"/>
              <w:right w:w="100" w:type="dxa"/>
            </w:tcMar>
            <w:shd w:fill="FEF2F2"/>
          </w:tcPr>
          <w:p>
            <w:pPr>
              <w:spacing w:before="20" w:after="20"/>
            </w:pPr>
            <w:r>
              <w:rPr>
                <w:b/>
                <w:color w:val="991B1B"/>
                <w:sz w:val="17"/>
              </w:rPr>
              <w:t>CRITICAL GAP</w:t>
            </w:r>
          </w:p>
        </w:tc>
      </w:tr>
      <w:tr>
        <w:tc>
          <w:tcPr>
            <w:tcW w:type="dxa" w:w="2160"/>
            <w:tcMar>
              <w:top w:w="60" w:type="dxa"/>
              <w:bottom w:w="60" w:type="dxa"/>
              <w:left w:w="100" w:type="dxa"/>
              <w:right w:w="100" w:type="dxa"/>
            </w:tcMar>
            <w:shd w:fill="FEF2F2"/>
          </w:tcPr>
          <w:p>
            <w:pPr>
              <w:spacing w:before="20" w:after="20"/>
            </w:pPr>
            <w:r>
              <w:rPr>
                <w:color w:val="334155"/>
                <w:sz w:val="17"/>
              </w:rPr>
              <w:t>Database Storage</w:t>
            </w:r>
          </w:p>
        </w:tc>
        <w:tc>
          <w:tcPr>
            <w:tcW w:type="dxa" w:w="3168"/>
            <w:tcMar>
              <w:top w:w="60" w:type="dxa"/>
              <w:bottom w:w="60" w:type="dxa"/>
              <w:left w:w="100" w:type="dxa"/>
              <w:right w:w="100" w:type="dxa"/>
            </w:tcMar>
            <w:shd w:fill="FEF2F2"/>
          </w:tcPr>
          <w:p>
            <w:pPr>
              <w:spacing w:before="20" w:after="20"/>
            </w:pPr>
            <w:r>
              <w:rPr>
                <w:color w:val="334155"/>
                <w:sz w:val="17"/>
              </w:rPr>
              <w:t>Local SQLite file (.db)</w:t>
            </w:r>
          </w:p>
        </w:tc>
        <w:tc>
          <w:tcPr>
            <w:tcW w:type="dxa" w:w="3168"/>
            <w:tcMar>
              <w:top w:w="60" w:type="dxa"/>
              <w:bottom w:w="60" w:type="dxa"/>
              <w:left w:w="100" w:type="dxa"/>
              <w:right w:w="100" w:type="dxa"/>
            </w:tcMar>
            <w:shd w:fill="FEF2F2"/>
          </w:tcPr>
          <w:p>
            <w:pPr>
              <w:spacing w:before="20" w:after="20"/>
            </w:pPr>
            <w:r>
              <w:rPr>
                <w:color w:val="334155"/>
                <w:sz w:val="17"/>
              </w:rPr>
              <w:t>Managed Cloud PostgreSQL 16+</w:t>
            </w:r>
          </w:p>
        </w:tc>
        <w:tc>
          <w:tcPr>
            <w:tcW w:type="dxa" w:w="1584"/>
            <w:tcMar>
              <w:top w:w="60" w:type="dxa"/>
              <w:bottom w:w="60" w:type="dxa"/>
              <w:left w:w="100" w:type="dxa"/>
              <w:right w:w="100" w:type="dxa"/>
            </w:tcMar>
            <w:shd w:fill="FEF2F2"/>
          </w:tcPr>
          <w:p>
            <w:pPr>
              <w:spacing w:before="20" w:after="20"/>
            </w:pPr>
            <w:r>
              <w:rPr>
                <w:b/>
                <w:color w:val="991B1B"/>
                <w:sz w:val="17"/>
              </w:rPr>
              <w:t>CRITICAL GAP</w:t>
            </w:r>
          </w:p>
        </w:tc>
      </w:tr>
      <w:tr>
        <w:tc>
          <w:tcPr>
            <w:tcW w:type="dxa" w:w="2160"/>
            <w:tcMar>
              <w:top w:w="60" w:type="dxa"/>
              <w:bottom w:w="60" w:type="dxa"/>
              <w:left w:w="100" w:type="dxa"/>
              <w:right w:w="100" w:type="dxa"/>
            </w:tcMar>
            <w:shd w:fill="FFFBEB"/>
          </w:tcPr>
          <w:p>
            <w:pPr>
              <w:spacing w:before="20" w:after="20"/>
            </w:pPr>
            <w:r>
              <w:rPr>
                <w:color w:val="334155"/>
                <w:sz w:val="17"/>
              </w:rPr>
              <w:t>Customer Validation</w:t>
            </w:r>
          </w:p>
        </w:tc>
        <w:tc>
          <w:tcPr>
            <w:tcW w:type="dxa" w:w="3168"/>
            <w:tcMar>
              <w:top w:w="60" w:type="dxa"/>
              <w:bottom w:w="60" w:type="dxa"/>
              <w:left w:w="100" w:type="dxa"/>
              <w:right w:w="100" w:type="dxa"/>
            </w:tcMar>
            <w:shd w:fill="FFFBEB"/>
          </w:tcPr>
          <w:p>
            <w:pPr>
              <w:spacing w:before="20" w:after="20"/>
            </w:pPr>
            <w:r>
              <w:rPr>
                <w:color w:val="334155"/>
                <w:sz w:val="17"/>
              </w:rPr>
              <w:t>Permissive text inputs</w:t>
            </w:r>
          </w:p>
        </w:tc>
        <w:tc>
          <w:tcPr>
            <w:tcW w:type="dxa" w:w="3168"/>
            <w:tcMar>
              <w:top w:w="60" w:type="dxa"/>
              <w:bottom w:w="60" w:type="dxa"/>
              <w:left w:w="100" w:type="dxa"/>
              <w:right w:w="100" w:type="dxa"/>
            </w:tcMar>
            <w:shd w:fill="FFFBEB"/>
          </w:tcPr>
          <w:p>
            <w:pPr>
              <w:spacing w:before="20" w:after="20"/>
            </w:pPr>
            <w:r>
              <w:rPr>
                <w:color w:val="334155"/>
                <w:sz w:val="17"/>
              </w:rPr>
              <w:t>Regex 10-digit phone + name sanitization</w:t>
            </w:r>
          </w:p>
        </w:tc>
        <w:tc>
          <w:tcPr>
            <w:tcW w:type="dxa" w:w="1584"/>
            <w:tcMar>
              <w:top w:w="60" w:type="dxa"/>
              <w:bottom w:w="60" w:type="dxa"/>
              <w:left w:w="100" w:type="dxa"/>
              <w:right w:w="100" w:type="dxa"/>
            </w:tcMar>
            <w:shd w:fill="FFFBEB"/>
          </w:tcPr>
          <w:p>
            <w:pPr>
              <w:spacing w:before="20" w:after="20"/>
            </w:pPr>
            <w:r>
              <w:rPr>
                <w:b/>
                <w:color w:val="92400E"/>
                <w:sz w:val="17"/>
              </w:rPr>
              <w:t>ACTION REQ.</w:t>
            </w:r>
          </w:p>
        </w:tc>
      </w:tr>
      <w:tr>
        <w:tc>
          <w:tcPr>
            <w:tcW w:type="dxa" w:w="2160"/>
            <w:tcMar>
              <w:top w:w="60" w:type="dxa"/>
              <w:bottom w:w="60" w:type="dxa"/>
              <w:left w:w="100" w:type="dxa"/>
              <w:right w:w="100" w:type="dxa"/>
            </w:tcMar>
            <w:shd w:fill="FFFBEB"/>
          </w:tcPr>
          <w:p>
            <w:pPr>
              <w:spacing w:before="20" w:after="20"/>
            </w:pPr>
            <w:r>
              <w:rPr>
                <w:color w:val="334155"/>
                <w:sz w:val="17"/>
              </w:rPr>
              <w:t>Spam Protection</w:t>
            </w:r>
          </w:p>
        </w:tc>
        <w:tc>
          <w:tcPr>
            <w:tcW w:type="dxa" w:w="3168"/>
            <w:tcMar>
              <w:top w:w="60" w:type="dxa"/>
              <w:bottom w:w="60" w:type="dxa"/>
              <w:left w:w="100" w:type="dxa"/>
              <w:right w:w="100" w:type="dxa"/>
            </w:tcMar>
            <w:shd w:fill="FFFBEB"/>
          </w:tcPr>
          <w:p>
            <w:pPr>
              <w:spacing w:before="20" w:after="20"/>
            </w:pPr>
            <w:r>
              <w:rPr>
                <w:color w:val="334155"/>
                <w:sz w:val="17"/>
              </w:rPr>
              <w:t>None / Open POST</w:t>
            </w:r>
          </w:p>
        </w:tc>
        <w:tc>
          <w:tcPr>
            <w:tcW w:type="dxa" w:w="3168"/>
            <w:tcMar>
              <w:top w:w="60" w:type="dxa"/>
              <w:bottom w:w="60" w:type="dxa"/>
              <w:left w:w="100" w:type="dxa"/>
              <w:right w:w="100" w:type="dxa"/>
            </w:tcMar>
            <w:shd w:fill="FFFBEB"/>
          </w:tcPr>
          <w:p>
            <w:pPr>
              <w:spacing w:before="20" w:after="20"/>
            </w:pPr>
            <w:r>
              <w:rPr>
                <w:color w:val="334155"/>
                <w:sz w:val="17"/>
              </w:rPr>
              <w:t>Rate limiting + Honeypot / Turnstile</w:t>
            </w:r>
          </w:p>
        </w:tc>
        <w:tc>
          <w:tcPr>
            <w:tcW w:type="dxa" w:w="1584"/>
            <w:tcMar>
              <w:top w:w="60" w:type="dxa"/>
              <w:bottom w:w="60" w:type="dxa"/>
              <w:left w:w="100" w:type="dxa"/>
              <w:right w:w="100" w:type="dxa"/>
            </w:tcMar>
            <w:shd w:fill="FFFBEB"/>
          </w:tcPr>
          <w:p>
            <w:pPr>
              <w:spacing w:before="20" w:after="20"/>
            </w:pPr>
            <w:r>
              <w:rPr>
                <w:b/>
                <w:color w:val="92400E"/>
                <w:sz w:val="17"/>
              </w:rPr>
              <w:t>ACTION REQ.</w:t>
            </w:r>
          </w:p>
        </w:tc>
      </w:tr>
      <w:tr>
        <w:tc>
          <w:tcPr>
            <w:tcW w:type="dxa" w:w="2160"/>
            <w:tcMar>
              <w:top w:w="60" w:type="dxa"/>
              <w:bottom w:w="60" w:type="dxa"/>
              <w:left w:w="100" w:type="dxa"/>
              <w:right w:w="100" w:type="dxa"/>
            </w:tcMar>
            <w:shd w:fill="FEF2F2"/>
          </w:tcPr>
          <w:p>
            <w:pPr>
              <w:spacing w:before="20" w:after="20"/>
            </w:pPr>
            <w:r>
              <w:rPr>
                <w:color w:val="334155"/>
                <w:sz w:val="17"/>
              </w:rPr>
              <w:t>WhatsApp Alerts</w:t>
            </w:r>
          </w:p>
        </w:tc>
        <w:tc>
          <w:tcPr>
            <w:tcW w:type="dxa" w:w="3168"/>
            <w:tcMar>
              <w:top w:w="60" w:type="dxa"/>
              <w:bottom w:w="60" w:type="dxa"/>
              <w:left w:w="100" w:type="dxa"/>
              <w:right w:w="100" w:type="dxa"/>
            </w:tcMar>
            <w:shd w:fill="FEF2F2"/>
          </w:tcPr>
          <w:p>
            <w:pPr>
              <w:spacing w:before="20" w:after="20"/>
            </w:pPr>
            <w:r>
              <w:rPr>
                <w:color w:val="334155"/>
                <w:sz w:val="17"/>
              </w:rPr>
              <w:t>Console log / Mock SMS</w:t>
            </w:r>
          </w:p>
        </w:tc>
        <w:tc>
          <w:tcPr>
            <w:tcW w:type="dxa" w:w="3168"/>
            <w:tcMar>
              <w:top w:w="60" w:type="dxa"/>
              <w:bottom w:w="60" w:type="dxa"/>
              <w:left w:w="100" w:type="dxa"/>
              <w:right w:w="100" w:type="dxa"/>
            </w:tcMar>
            <w:shd w:fill="FEF2F2"/>
          </w:tcPr>
          <w:p>
            <w:pPr>
              <w:spacing w:before="20" w:after="20"/>
            </w:pPr>
            <w:r>
              <w:rPr>
                <w:color w:val="334155"/>
                <w:sz w:val="17"/>
              </w:rPr>
              <w:t>Meta Cloud API + Approved Templates</w:t>
            </w:r>
          </w:p>
        </w:tc>
        <w:tc>
          <w:tcPr>
            <w:tcW w:type="dxa" w:w="1584"/>
            <w:tcMar>
              <w:top w:w="60" w:type="dxa"/>
              <w:bottom w:w="60" w:type="dxa"/>
              <w:left w:w="100" w:type="dxa"/>
              <w:right w:w="100" w:type="dxa"/>
            </w:tcMar>
            <w:shd w:fill="FEF2F2"/>
          </w:tcPr>
          <w:p>
            <w:pPr>
              <w:spacing w:before="20" w:after="20"/>
            </w:pPr>
            <w:r>
              <w:rPr>
                <w:b/>
                <w:color w:val="991B1B"/>
                <w:sz w:val="17"/>
              </w:rPr>
              <w:t>CRITICAL GAP</w:t>
            </w:r>
          </w:p>
        </w:tc>
      </w:tr>
      <w:tr>
        <w:tc>
          <w:tcPr>
            <w:tcW w:type="dxa" w:w="2160"/>
            <w:tcMar>
              <w:top w:w="60" w:type="dxa"/>
              <w:bottom w:w="60" w:type="dxa"/>
              <w:left w:w="100" w:type="dxa"/>
              <w:right w:w="100" w:type="dxa"/>
            </w:tcMar>
            <w:shd w:fill="FFFBEB"/>
          </w:tcPr>
          <w:p>
            <w:pPr>
              <w:spacing w:before="20" w:after="20"/>
            </w:pPr>
            <w:r>
              <w:rPr>
                <w:color w:val="334155"/>
                <w:sz w:val="17"/>
              </w:rPr>
              <w:t>PDF Invoices</w:t>
            </w:r>
          </w:p>
        </w:tc>
        <w:tc>
          <w:tcPr>
            <w:tcW w:type="dxa" w:w="3168"/>
            <w:tcMar>
              <w:top w:w="60" w:type="dxa"/>
              <w:bottom w:w="60" w:type="dxa"/>
              <w:left w:w="100" w:type="dxa"/>
              <w:right w:w="100" w:type="dxa"/>
            </w:tcMar>
            <w:shd w:fill="FFFBEB"/>
          </w:tcPr>
          <w:p>
            <w:pPr>
              <w:spacing w:before="20" w:after="20"/>
            </w:pPr>
            <w:r>
              <w:rPr>
                <w:color w:val="334155"/>
                <w:sz w:val="17"/>
              </w:rPr>
              <w:t>Local PDF rendering</w:t>
            </w:r>
          </w:p>
        </w:tc>
        <w:tc>
          <w:tcPr>
            <w:tcW w:type="dxa" w:w="3168"/>
            <w:tcMar>
              <w:top w:w="60" w:type="dxa"/>
              <w:bottom w:w="60" w:type="dxa"/>
              <w:left w:w="100" w:type="dxa"/>
              <w:right w:w="100" w:type="dxa"/>
            </w:tcMar>
            <w:shd w:fill="FFFBEB"/>
          </w:tcPr>
          <w:p>
            <w:pPr>
              <w:spacing w:before="20" w:after="20"/>
            </w:pPr>
            <w:r>
              <w:rPr>
                <w:color w:val="334155"/>
                <w:sz w:val="17"/>
              </w:rPr>
              <w:t>S3 Storage + WhatsApp Media delivery</w:t>
            </w:r>
          </w:p>
        </w:tc>
        <w:tc>
          <w:tcPr>
            <w:tcW w:type="dxa" w:w="1584"/>
            <w:tcMar>
              <w:top w:w="60" w:type="dxa"/>
              <w:bottom w:w="60" w:type="dxa"/>
              <w:left w:w="100" w:type="dxa"/>
              <w:right w:w="100" w:type="dxa"/>
            </w:tcMar>
            <w:shd w:fill="FFFBEB"/>
          </w:tcPr>
          <w:p>
            <w:pPr>
              <w:spacing w:before="20" w:after="20"/>
            </w:pPr>
            <w:r>
              <w:rPr>
                <w:b/>
                <w:color w:val="92400E"/>
                <w:sz w:val="17"/>
              </w:rPr>
              <w:t>ACTION REQ.</w:t>
            </w:r>
          </w:p>
        </w:tc>
      </w:tr>
      <w:tr>
        <w:tc>
          <w:tcPr>
            <w:tcW w:type="dxa" w:w="2160"/>
            <w:tcMar>
              <w:top w:w="60" w:type="dxa"/>
              <w:bottom w:w="60" w:type="dxa"/>
              <w:left w:w="100" w:type="dxa"/>
              <w:right w:w="100" w:type="dxa"/>
            </w:tcMar>
            <w:shd w:fill="FFFBEB"/>
          </w:tcPr>
          <w:p>
            <w:pPr>
              <w:spacing w:before="20" w:after="20"/>
            </w:pPr>
            <w:r>
              <w:rPr>
                <w:color w:val="334155"/>
                <w:sz w:val="17"/>
              </w:rPr>
              <w:t>Background Cron</w:t>
            </w:r>
          </w:p>
        </w:tc>
        <w:tc>
          <w:tcPr>
            <w:tcW w:type="dxa" w:w="3168"/>
            <w:tcMar>
              <w:top w:w="60" w:type="dxa"/>
              <w:bottom w:w="60" w:type="dxa"/>
              <w:left w:w="100" w:type="dxa"/>
              <w:right w:w="100" w:type="dxa"/>
            </w:tcMar>
            <w:shd w:fill="FFFBEB"/>
          </w:tcPr>
          <w:p>
            <w:pPr>
              <w:spacing w:before="20" w:after="20"/>
            </w:pPr>
            <w:r>
              <w:rPr>
                <w:color w:val="334155"/>
                <w:sz w:val="17"/>
              </w:rPr>
              <w:t>Manual CLI commands</w:t>
            </w:r>
          </w:p>
        </w:tc>
        <w:tc>
          <w:tcPr>
            <w:tcW w:type="dxa" w:w="3168"/>
            <w:tcMar>
              <w:top w:w="60" w:type="dxa"/>
              <w:bottom w:w="60" w:type="dxa"/>
              <w:left w:w="100" w:type="dxa"/>
              <w:right w:w="100" w:type="dxa"/>
            </w:tcMar>
            <w:shd w:fill="FFFBEB"/>
          </w:tcPr>
          <w:p>
            <w:pPr>
              <w:spacing w:before="20" w:after="20"/>
            </w:pPr>
            <w:r>
              <w:rPr>
                <w:color w:val="334155"/>
                <w:sz w:val="17"/>
              </w:rPr>
              <w:t>Systemd Cron / Redis Celery Queue</w:t>
            </w:r>
          </w:p>
        </w:tc>
        <w:tc>
          <w:tcPr>
            <w:tcW w:type="dxa" w:w="1584"/>
            <w:tcMar>
              <w:top w:w="60" w:type="dxa"/>
              <w:bottom w:w="60" w:type="dxa"/>
              <w:left w:w="100" w:type="dxa"/>
              <w:right w:w="100" w:type="dxa"/>
            </w:tcMar>
            <w:shd w:fill="FFFBEB"/>
          </w:tcPr>
          <w:p>
            <w:pPr>
              <w:spacing w:before="20" w:after="20"/>
            </w:pPr>
            <w:r>
              <w:rPr>
                <w:b/>
                <w:color w:val="92400E"/>
                <w:sz w:val="17"/>
              </w:rPr>
              <w:t>ACTION REQ.</w:t>
            </w:r>
          </w:p>
        </w:tc>
      </w:tr>
      <w:tr>
        <w:tc>
          <w:tcPr>
            <w:tcW w:type="dxa" w:w="2160"/>
            <w:tcMar>
              <w:top w:w="60" w:type="dxa"/>
              <w:bottom w:w="60" w:type="dxa"/>
              <w:left w:w="100" w:type="dxa"/>
              <w:right w:w="100" w:type="dxa"/>
            </w:tcMar>
            <w:shd w:fill="FEF2F2"/>
          </w:tcPr>
          <w:p>
            <w:pPr>
              <w:spacing w:before="20" w:after="20"/>
            </w:pPr>
            <w:r>
              <w:rPr>
                <w:color w:val="334155"/>
                <w:sz w:val="17"/>
              </w:rPr>
              <w:t>Cloud Deployment</w:t>
            </w:r>
          </w:p>
        </w:tc>
        <w:tc>
          <w:tcPr>
            <w:tcW w:type="dxa" w:w="3168"/>
            <w:tcMar>
              <w:top w:w="60" w:type="dxa"/>
              <w:bottom w:w="60" w:type="dxa"/>
              <w:left w:w="100" w:type="dxa"/>
              <w:right w:w="100" w:type="dxa"/>
            </w:tcMar>
            <w:shd w:fill="FEF2F2"/>
          </w:tcPr>
          <w:p>
            <w:pPr>
              <w:spacing w:before="20" w:after="20"/>
            </w:pPr>
            <w:r>
              <w:rPr>
                <w:color w:val="334155"/>
                <w:sz w:val="17"/>
              </w:rPr>
              <w:t>Localhost (Windows PC)</w:t>
            </w:r>
          </w:p>
        </w:tc>
        <w:tc>
          <w:tcPr>
            <w:tcW w:type="dxa" w:w="3168"/>
            <w:tcMar>
              <w:top w:w="60" w:type="dxa"/>
              <w:bottom w:w="60" w:type="dxa"/>
              <w:left w:w="100" w:type="dxa"/>
              <w:right w:w="100" w:type="dxa"/>
            </w:tcMar>
            <w:shd w:fill="FEF2F2"/>
          </w:tcPr>
          <w:p>
            <w:pPr>
              <w:spacing w:before="20" w:after="20"/>
            </w:pPr>
            <w:r>
              <w:rPr>
                <w:color w:val="334155"/>
                <w:sz w:val="17"/>
              </w:rPr>
              <w:t>Cloud Linux VM + Nginx + Let's Encrypt SSL</w:t>
            </w:r>
          </w:p>
        </w:tc>
        <w:tc>
          <w:tcPr>
            <w:tcW w:type="dxa" w:w="1584"/>
            <w:tcMar>
              <w:top w:w="60" w:type="dxa"/>
              <w:bottom w:w="60" w:type="dxa"/>
              <w:left w:w="100" w:type="dxa"/>
              <w:right w:w="100" w:type="dxa"/>
            </w:tcMar>
            <w:shd w:fill="FEF2F2"/>
          </w:tcPr>
          <w:p>
            <w:pPr>
              <w:spacing w:before="20" w:after="20"/>
            </w:pPr>
            <w:r>
              <w:rPr>
                <w:b/>
                <w:color w:val="991B1B"/>
                <w:sz w:val="17"/>
              </w:rPr>
              <w:t>CRITICAL GAP</w:t>
            </w:r>
          </w:p>
        </w:tc>
      </w:tr>
      <w:tr>
        <w:tc>
          <w:tcPr>
            <w:tcW w:type="dxa" w:w="2160"/>
            <w:tcMar>
              <w:top w:w="60" w:type="dxa"/>
              <w:bottom w:w="60" w:type="dxa"/>
              <w:left w:w="100" w:type="dxa"/>
              <w:right w:w="100" w:type="dxa"/>
            </w:tcMar>
            <w:shd w:fill="F8FAFC"/>
          </w:tcPr>
          <w:p>
            <w:pPr>
              <w:spacing w:before="20" w:after="20"/>
            </w:pPr>
            <w:r>
              <w:rPr>
                <w:color w:val="334155"/>
                <w:sz w:val="17"/>
              </w:rPr>
              <w:t>Client Onboarding</w:t>
            </w:r>
          </w:p>
        </w:tc>
        <w:tc>
          <w:tcPr>
            <w:tcW w:type="dxa" w:w="3168"/>
            <w:tcMar>
              <w:top w:w="60" w:type="dxa"/>
              <w:bottom w:w="60" w:type="dxa"/>
              <w:left w:w="100" w:type="dxa"/>
              <w:right w:w="100" w:type="dxa"/>
            </w:tcMar>
            <w:shd w:fill="F8FAFC"/>
          </w:tcPr>
          <w:p>
            <w:pPr>
              <w:spacing w:before="20" w:after="20"/>
            </w:pPr>
            <w:r>
              <w:rPr>
                <w:color w:val="334155"/>
                <w:sz w:val="17"/>
              </w:rPr>
              <w:t>Developer CLI seeding</w:t>
            </w:r>
          </w:p>
        </w:tc>
        <w:tc>
          <w:tcPr>
            <w:tcW w:type="dxa" w:w="3168"/>
            <w:tcMar>
              <w:top w:w="60" w:type="dxa"/>
              <w:bottom w:w="60" w:type="dxa"/>
              <w:left w:w="100" w:type="dxa"/>
              <w:right w:w="100" w:type="dxa"/>
            </w:tcMar>
            <w:shd w:fill="F8FAFC"/>
          </w:tcPr>
          <w:p>
            <w:pPr>
              <w:spacing w:before="20" w:after="20"/>
            </w:pPr>
            <w:r>
              <w:rPr>
                <w:color w:val="334155"/>
                <w:sz w:val="17"/>
              </w:rPr>
              <w:t>Web Setup Wizard / Superadmin dashboard</w:t>
            </w:r>
          </w:p>
        </w:tc>
        <w:tc>
          <w:tcPr>
            <w:tcW w:type="dxa" w:w="1584"/>
            <w:tcMar>
              <w:top w:w="60" w:type="dxa"/>
              <w:bottom w:w="60" w:type="dxa"/>
              <w:left w:w="100" w:type="dxa"/>
              <w:right w:w="100" w:type="dxa"/>
            </w:tcMar>
            <w:shd w:fill="F8FAFC"/>
          </w:tcPr>
          <w:p>
            <w:pPr>
              <w:spacing w:before="20" w:after="20"/>
            </w:pPr>
            <w:r>
              <w:rPr>
                <w:b/>
                <w:color w:val="92400E"/>
                <w:sz w:val="17"/>
              </w:rPr>
              <w:t>PLANNED</w:t>
            </w:r>
          </w:p>
        </w:tc>
      </w:tr>
      <w:tr>
        <w:tc>
          <w:tcPr>
            <w:tcW w:type="dxa" w:w="2160"/>
            <w:tcMar>
              <w:top w:w="60" w:type="dxa"/>
              <w:bottom w:w="60" w:type="dxa"/>
              <w:left w:w="100" w:type="dxa"/>
              <w:right w:w="100" w:type="dxa"/>
            </w:tcMar>
            <w:shd w:fill="F0FDF4"/>
          </w:tcPr>
          <w:p>
            <w:pPr>
              <w:spacing w:before="20" w:after="20"/>
            </w:pPr>
            <w:r>
              <w:rPr>
                <w:color w:val="334155"/>
                <w:sz w:val="17"/>
              </w:rPr>
              <w:t>Zero Double-Booking</w:t>
            </w:r>
          </w:p>
        </w:tc>
        <w:tc>
          <w:tcPr>
            <w:tcW w:type="dxa" w:w="3168"/>
            <w:tcMar>
              <w:top w:w="60" w:type="dxa"/>
              <w:bottom w:w="60" w:type="dxa"/>
              <w:left w:w="100" w:type="dxa"/>
              <w:right w:w="100" w:type="dxa"/>
            </w:tcMar>
            <w:shd w:fill="F0FDF4"/>
          </w:tcPr>
          <w:p>
            <w:pPr>
              <w:spacing w:before="20" w:after="20"/>
            </w:pPr>
            <w:r>
              <w:rPr>
                <w:color w:val="334155"/>
                <w:sz w:val="17"/>
              </w:rPr>
              <w:t>Row lock + Unique index</w:t>
            </w:r>
          </w:p>
        </w:tc>
        <w:tc>
          <w:tcPr>
            <w:tcW w:type="dxa" w:w="3168"/>
            <w:tcMar>
              <w:top w:w="60" w:type="dxa"/>
              <w:bottom w:w="60" w:type="dxa"/>
              <w:left w:w="100" w:type="dxa"/>
              <w:right w:w="100" w:type="dxa"/>
            </w:tcMar>
            <w:shd w:fill="F0FDF4"/>
          </w:tcPr>
          <w:p>
            <w:pPr>
              <w:spacing w:before="20" w:after="20"/>
            </w:pPr>
            <w:r>
              <w:rPr>
                <w:color w:val="334155"/>
                <w:sz w:val="17"/>
              </w:rPr>
              <w:t>Production verified (PostgreSQL locks)</w:t>
            </w:r>
          </w:p>
        </w:tc>
        <w:tc>
          <w:tcPr>
            <w:tcW w:type="dxa" w:w="1584"/>
            <w:tcMar>
              <w:top w:w="60" w:type="dxa"/>
              <w:bottom w:w="60" w:type="dxa"/>
              <w:left w:w="100" w:type="dxa"/>
              <w:right w:w="100" w:type="dxa"/>
            </w:tcMar>
            <w:shd w:fill="F0FDF4"/>
          </w:tcPr>
          <w:p>
            <w:pPr>
              <w:spacing w:before="20" w:after="20"/>
            </w:pPr>
            <w:r>
              <w:rPr>
                <w:b/>
                <w:color w:val="166534"/>
                <w:sz w:val="17"/>
              </w:rPr>
              <w:t>READY [DONE]</w:t>
            </w:r>
          </w:p>
        </w:tc>
      </w:tr>
      <w:tr>
        <w:tc>
          <w:tcPr>
            <w:tcW w:type="dxa" w:w="2160"/>
            <w:tcMar>
              <w:top w:w="60" w:type="dxa"/>
              <w:bottom w:w="60" w:type="dxa"/>
              <w:left w:w="100" w:type="dxa"/>
              <w:right w:w="100" w:type="dxa"/>
            </w:tcMar>
            <w:shd w:fill="F0FDF4"/>
          </w:tcPr>
          <w:p>
            <w:pPr>
              <w:spacing w:before="20" w:after="20"/>
            </w:pPr>
            <w:r>
              <w:rPr>
                <w:color w:val="334155"/>
                <w:sz w:val="17"/>
              </w:rPr>
              <w:t>Pricing Engine</w:t>
            </w:r>
          </w:p>
        </w:tc>
        <w:tc>
          <w:tcPr>
            <w:tcW w:type="dxa" w:w="3168"/>
            <w:tcMar>
              <w:top w:w="60" w:type="dxa"/>
              <w:bottom w:w="60" w:type="dxa"/>
              <w:left w:w="100" w:type="dxa"/>
              <w:right w:w="100" w:type="dxa"/>
            </w:tcMar>
            <w:shd w:fill="F0FDF4"/>
          </w:tcPr>
          <w:p>
            <w:pPr>
              <w:spacing w:before="20" w:after="20"/>
            </w:pPr>
            <w:r>
              <w:rPr>
                <w:color w:val="334155"/>
                <w:sz w:val="17"/>
              </w:rPr>
              <w:t>Peak/off-peak calculator</w:t>
            </w:r>
          </w:p>
        </w:tc>
        <w:tc>
          <w:tcPr>
            <w:tcW w:type="dxa" w:w="3168"/>
            <w:tcMar>
              <w:top w:w="60" w:type="dxa"/>
              <w:bottom w:w="60" w:type="dxa"/>
              <w:left w:w="100" w:type="dxa"/>
              <w:right w:w="100" w:type="dxa"/>
            </w:tcMar>
            <w:shd w:fill="F0FDF4"/>
          </w:tcPr>
          <w:p>
            <w:pPr>
              <w:spacing w:before="20" w:after="20"/>
            </w:pPr>
            <w:r>
              <w:rPr>
                <w:color w:val="334155"/>
                <w:sz w:val="17"/>
              </w:rPr>
              <w:t>Production verified</w:t>
            </w:r>
          </w:p>
        </w:tc>
        <w:tc>
          <w:tcPr>
            <w:tcW w:type="dxa" w:w="1584"/>
            <w:tcMar>
              <w:top w:w="60" w:type="dxa"/>
              <w:bottom w:w="60" w:type="dxa"/>
              <w:left w:w="100" w:type="dxa"/>
              <w:right w:w="100" w:type="dxa"/>
            </w:tcMar>
            <w:shd w:fill="F0FDF4"/>
          </w:tcPr>
          <w:p>
            <w:pPr>
              <w:spacing w:before="20" w:after="20"/>
            </w:pPr>
            <w:r>
              <w:rPr>
                <w:b/>
                <w:color w:val="166534"/>
                <w:sz w:val="17"/>
              </w:rPr>
              <w:t>READY [DONE]</w:t>
            </w:r>
          </w:p>
        </w:tc>
      </w:tr>
      <w:tr>
        <w:tc>
          <w:tcPr>
            <w:tcW w:type="dxa" w:w="2160"/>
            <w:tcMar>
              <w:top w:w="60" w:type="dxa"/>
              <w:bottom w:w="60" w:type="dxa"/>
              <w:left w:w="100" w:type="dxa"/>
              <w:right w:w="100" w:type="dxa"/>
            </w:tcMar>
            <w:shd w:fill="F0FDF4"/>
          </w:tcPr>
          <w:p>
            <w:pPr>
              <w:spacing w:before="20" w:after="20"/>
            </w:pPr>
            <w:r>
              <w:rPr>
                <w:color w:val="334155"/>
                <w:sz w:val="17"/>
              </w:rPr>
              <w:t>Clinic Queue Board</w:t>
            </w:r>
          </w:p>
        </w:tc>
        <w:tc>
          <w:tcPr>
            <w:tcW w:type="dxa" w:w="3168"/>
            <w:tcMar>
              <w:top w:w="60" w:type="dxa"/>
              <w:bottom w:w="60" w:type="dxa"/>
              <w:left w:w="100" w:type="dxa"/>
              <w:right w:w="100" w:type="dxa"/>
            </w:tcMar>
            <w:shd w:fill="F0FDF4"/>
          </w:tcPr>
          <w:p>
            <w:pPr>
              <w:spacing w:before="20" w:after="20"/>
            </w:pPr>
            <w:r>
              <w:rPr>
                <w:color w:val="334155"/>
                <w:sz w:val="17"/>
              </w:rPr>
              <w:t>Walk-in + Slot board</w:t>
            </w:r>
          </w:p>
        </w:tc>
        <w:tc>
          <w:tcPr>
            <w:tcW w:type="dxa" w:w="3168"/>
            <w:tcMar>
              <w:top w:w="60" w:type="dxa"/>
              <w:bottom w:w="60" w:type="dxa"/>
              <w:left w:w="100" w:type="dxa"/>
              <w:right w:w="100" w:type="dxa"/>
            </w:tcMar>
            <w:shd w:fill="F0FDF4"/>
          </w:tcPr>
          <w:p>
            <w:pPr>
              <w:spacing w:before="20" w:after="20"/>
            </w:pPr>
            <w:r>
              <w:rPr>
                <w:color w:val="334155"/>
                <w:sz w:val="17"/>
              </w:rPr>
              <w:t>Production verified</w:t>
            </w:r>
          </w:p>
        </w:tc>
        <w:tc>
          <w:tcPr>
            <w:tcW w:type="dxa" w:w="1584"/>
            <w:tcMar>
              <w:top w:w="60" w:type="dxa"/>
              <w:bottom w:w="60" w:type="dxa"/>
              <w:left w:w="100" w:type="dxa"/>
              <w:right w:w="100" w:type="dxa"/>
            </w:tcMar>
            <w:shd w:fill="F0FDF4"/>
          </w:tcPr>
          <w:p>
            <w:pPr>
              <w:spacing w:before="20" w:after="20"/>
            </w:pPr>
            <w:r>
              <w:rPr>
                <w:b/>
                <w:color w:val="166534"/>
                <w:sz w:val="17"/>
              </w:rPr>
              <w:t>READY [DONE]</w:t>
            </w:r>
          </w:p>
        </w:tc>
      </w:tr>
      <w:tr>
        <w:tc>
          <w:tcPr>
            <w:tcW w:type="dxa" w:w="2160"/>
            <w:tcMar>
              <w:top w:w="60" w:type="dxa"/>
              <w:bottom w:w="60" w:type="dxa"/>
              <w:left w:w="100" w:type="dxa"/>
              <w:right w:w="100" w:type="dxa"/>
            </w:tcMar>
            <w:shd w:fill="F0FDF4"/>
          </w:tcPr>
          <w:p>
            <w:pPr>
              <w:spacing w:before="20" w:after="20"/>
            </w:pPr>
            <w:r>
              <w:rPr>
                <w:color w:val="334155"/>
                <w:sz w:val="17"/>
              </w:rPr>
              <w:t>English/Tamil UI</w:t>
            </w:r>
          </w:p>
        </w:tc>
        <w:tc>
          <w:tcPr>
            <w:tcW w:type="dxa" w:w="3168"/>
            <w:tcMar>
              <w:top w:w="60" w:type="dxa"/>
              <w:bottom w:w="60" w:type="dxa"/>
              <w:left w:w="100" w:type="dxa"/>
              <w:right w:w="100" w:type="dxa"/>
            </w:tcMar>
            <w:shd w:fill="F0FDF4"/>
          </w:tcPr>
          <w:p>
            <w:pPr>
              <w:spacing w:before="20" w:after="20"/>
            </w:pPr>
            <w:r>
              <w:rPr>
                <w:color w:val="334155"/>
                <w:sz w:val="17"/>
              </w:rPr>
              <w:t>Bilingual dictionary</w:t>
            </w:r>
          </w:p>
        </w:tc>
        <w:tc>
          <w:tcPr>
            <w:tcW w:type="dxa" w:w="3168"/>
            <w:tcMar>
              <w:top w:w="60" w:type="dxa"/>
              <w:bottom w:w="60" w:type="dxa"/>
              <w:left w:w="100" w:type="dxa"/>
              <w:right w:w="100" w:type="dxa"/>
            </w:tcMar>
            <w:shd w:fill="F0FDF4"/>
          </w:tcPr>
          <w:p>
            <w:pPr>
              <w:spacing w:before="20" w:after="20"/>
            </w:pPr>
            <w:r>
              <w:rPr>
                <w:color w:val="334155"/>
                <w:sz w:val="17"/>
              </w:rPr>
              <w:t>Production verified</w:t>
            </w:r>
          </w:p>
        </w:tc>
        <w:tc>
          <w:tcPr>
            <w:tcW w:type="dxa" w:w="1584"/>
            <w:tcMar>
              <w:top w:w="60" w:type="dxa"/>
              <w:bottom w:w="60" w:type="dxa"/>
              <w:left w:w="100" w:type="dxa"/>
              <w:right w:w="100" w:type="dxa"/>
            </w:tcMar>
            <w:shd w:fill="F0FDF4"/>
          </w:tcPr>
          <w:p>
            <w:pPr>
              <w:spacing w:before="20" w:after="20"/>
            </w:pPr>
            <w:r>
              <w:rPr>
                <w:b/>
                <w:color w:val="166534"/>
                <w:sz w:val="17"/>
              </w:rPr>
              <w:t>READY [DONE]</w:t>
            </w:r>
          </w:p>
        </w:tc>
      </w:tr>
    </w:tbl>
    <w:p>
      <w:pPr>
        <w:spacing w:after="120"/>
      </w:pPr>
    </w:p>
    <w:p>
      <w:pPr>
        <w:pStyle w:val="Heading1"/>
        <w:spacing w:before="280" w:after="80"/>
      </w:pPr>
      <w:r>
        <w:rPr>
          <w:rFonts w:ascii="Arial" w:hAnsi="Arial"/>
          <w:b/>
          <w:color w:val="1E3A8A"/>
          <w:sz w:val="30"/>
        </w:rPr>
        <w:t>5. Master Execution Plan: 4 Phases to First Paying Client</w:t>
      </w:r>
    </w:p>
    <w:p>
      <w:r>
        <w:t>To systematically transition SlotEngine into a commercially viable SaaS for your first pilot customer (e.g. a premier sports turf or dental clinic), follow this four-phase operational roadmap:</w:t>
      </w:r>
    </w:p>
    <w:p>
      <w:pPr>
        <w:spacing w:before="160" w:after="40"/>
      </w:pPr>
      <w:r>
        <w:rPr>
          <w:b/>
          <w:color w:val="0F766E"/>
          <w:sz w:val="23"/>
        </w:rPr>
        <w:t>Phase 1: Input Validation, Security &amp; Concurrency Hardening (Days 1 to 3)</w:t>
      </w:r>
    </w:p>
    <w:p>
      <w:pPr>
        <w:pStyle w:val="ListBullet"/>
        <w:spacing w:before="20" w:after="20"/>
      </w:pPr>
      <w:r>
        <w:rPr>
          <w:color w:val="334155"/>
          <w:sz w:val="19"/>
        </w:rPr>
        <w:t>Implement strict client-side &amp; server-side regex for Indian mobile numbers (^[6-9][0-9]{9}$) and clean name validation.</w:t>
      </w:r>
    </w:p>
    <w:p>
      <w:pPr>
        <w:pStyle w:val="ListBullet"/>
        <w:spacing w:before="20" w:after="20"/>
      </w:pPr>
      <w:r>
        <w:rPr>
          <w:color w:val="334155"/>
          <w:sz w:val="19"/>
        </w:rPr>
        <w:t>Add an anti-spam honeypot and Flask-Limiter rate limiting (maximum 5 booking holds per IP per 5 minutes).</w:t>
      </w:r>
    </w:p>
    <w:p>
      <w:pPr>
        <w:pStyle w:val="ListBullet"/>
        <w:spacing w:before="20" w:after="20"/>
      </w:pPr>
      <w:r>
        <w:rPr>
          <w:color w:val="334155"/>
          <w:sz w:val="19"/>
        </w:rPr>
        <w:t>Ensure CSRF tokens are injected and verified on all public HTMX booking forms.</w:t>
      </w:r>
    </w:p>
    <w:p>
      <w:pPr>
        <w:pStyle w:val="ListBullet"/>
        <w:spacing w:before="20" w:after="20"/>
      </w:pPr>
      <w:r>
        <w:rPr>
          <w:color w:val="334155"/>
          <w:sz w:val="19"/>
        </w:rPr>
        <w:t>Adapt dynamic text strings on public booking page (replace turf-specific labels like 'Floodlight Peak' or '/hr' with 'Consultation Fee' or 'Therapy Session' when tenant vertical is CLINIC).</w:t>
      </w:r>
    </w:p>
    <w:p>
      <w:pPr>
        <w:spacing w:before="160" w:after="40"/>
      </w:pPr>
      <w:r>
        <w:rPr>
          <w:b/>
          <w:color w:val="0F766E"/>
          <w:sz w:val="23"/>
        </w:rPr>
        <w:t>Phase 2: Payment Gateway &amp; WhatsApp API Integration (Days 4 to 7)</w:t>
      </w:r>
    </w:p>
    <w:p>
      <w:pPr>
        <w:pStyle w:val="ListBullet"/>
        <w:spacing w:before="20" w:after="20"/>
      </w:pPr>
      <w:r>
        <w:rPr>
          <w:color w:val="334155"/>
          <w:sz w:val="19"/>
        </w:rPr>
        <w:t>Activate live Razorpay merchant account and obtain API Key ID &amp; Secret.</w:t>
      </w:r>
    </w:p>
    <w:p>
      <w:pPr>
        <w:pStyle w:val="ListBullet"/>
        <w:spacing w:before="20" w:after="20"/>
      </w:pPr>
      <w:r>
        <w:rPr>
          <w:color w:val="334155"/>
          <w:sz w:val="19"/>
        </w:rPr>
        <w:t>Integrate Razorpay Standard Checkout modal + UPI Intent buttons (GPay, PhonePe, Paytm).</w:t>
      </w:r>
    </w:p>
    <w:p>
      <w:pPr>
        <w:pStyle w:val="ListBullet"/>
        <w:spacing w:before="20" w:after="20"/>
      </w:pPr>
      <w:r>
        <w:rPr>
          <w:color w:val="334155"/>
          <w:sz w:val="19"/>
        </w:rPr>
        <w:t>Expose and secure the Razorpay Webhook endpoint (/webhooks/razorpay) to automatically confirm bookings upon bank settlement.</w:t>
      </w:r>
    </w:p>
    <w:p>
      <w:pPr>
        <w:pStyle w:val="ListBullet"/>
        <w:spacing w:before="20" w:after="20"/>
      </w:pPr>
      <w:r>
        <w:rPr>
          <w:color w:val="334155"/>
          <w:sz w:val="19"/>
        </w:rPr>
        <w:t>Register a Meta WhatsApp Cloud API account (or AiSensy BSP account) and submit booking confirmation &amp; reminder templates for Meta approval.</w:t>
      </w:r>
    </w:p>
    <w:p>
      <w:pPr>
        <w:pStyle w:val="ListBullet"/>
        <w:spacing w:before="20" w:after="20"/>
      </w:pPr>
      <w:r>
        <w:rPr>
          <w:color w:val="334155"/>
          <w:sz w:val="19"/>
        </w:rPr>
        <w:t>Configure cloud object storage (AWS S3 or Supabase Storage) to host generated PDF invoices and include direct download links in WhatsApp confirmation alerts.</w:t>
      </w:r>
    </w:p>
    <w:p>
      <w:pPr>
        <w:spacing w:before="160" w:after="40"/>
      </w:pPr>
      <w:r>
        <w:rPr>
          <w:b/>
          <w:color w:val="0F766E"/>
          <w:sz w:val="23"/>
        </w:rPr>
        <w:t>Phase 3: Cloud Database &amp; Infrastructure Deployment (Days 8 to 10)</w:t>
      </w:r>
    </w:p>
    <w:p>
      <w:pPr>
        <w:pStyle w:val="ListBullet"/>
        <w:spacing w:before="20" w:after="20"/>
      </w:pPr>
      <w:r>
        <w:rPr>
          <w:color w:val="334155"/>
          <w:sz w:val="19"/>
        </w:rPr>
        <w:t>Provision a managed cloud PostgreSQL 16+ instance (Supabase, Neon, or AWS RDS).</w:t>
      </w:r>
    </w:p>
    <w:p>
      <w:pPr>
        <w:pStyle w:val="ListBullet"/>
        <w:spacing w:before="20" w:after="20"/>
      </w:pPr>
      <w:r>
        <w:rPr>
          <w:color w:val="334155"/>
          <w:sz w:val="19"/>
        </w:rPr>
        <w:t>Run database migrations (flask db upgrade) to migrate schema to cloud Postgres with zero data loss.</w:t>
      </w:r>
    </w:p>
    <w:p>
      <w:pPr>
        <w:pStyle w:val="ListBullet"/>
        <w:spacing w:before="20" w:after="20"/>
      </w:pPr>
      <w:r>
        <w:rPr>
          <w:color w:val="334155"/>
          <w:sz w:val="19"/>
        </w:rPr>
        <w:t>Deploy the application onto a production Linux VM (Ubuntu on DigitalOcean Droplet, AWS EC2, or Render).</w:t>
      </w:r>
    </w:p>
    <w:p>
      <w:pPr>
        <w:pStyle w:val="ListBullet"/>
        <w:spacing w:before="20" w:after="20"/>
      </w:pPr>
      <w:r>
        <w:rPr>
          <w:color w:val="334155"/>
          <w:sz w:val="19"/>
        </w:rPr>
        <w:t>Configure Gunicorn with 3 gevent/sync workers and an Nginx reverse proxy with SSL (Let's Encrypt / Certbot).</w:t>
      </w:r>
    </w:p>
    <w:p>
      <w:pPr>
        <w:pStyle w:val="ListBullet"/>
        <w:spacing w:before="20" w:after="20"/>
      </w:pPr>
      <w:r>
        <w:rPr>
          <w:color w:val="334155"/>
          <w:sz w:val="19"/>
        </w:rPr>
        <w:t>Set up an automated Linux systemd cron job or Celery worker running every 5 minutes to release stale holds and trigger automated 24h &amp; 2h WhatsApp reminders.</w:t>
      </w:r>
    </w:p>
    <w:p>
      <w:pPr>
        <w:spacing w:before="160" w:after="40"/>
      </w:pPr>
      <w:r>
        <w:rPr>
          <w:b/>
          <w:color w:val="0F766E"/>
          <w:sz w:val="23"/>
        </w:rPr>
        <w:t>Phase 4: Client Onboarding, Training &amp; Pilot Launch (Days 11 to 14)</w:t>
      </w:r>
    </w:p>
    <w:p>
      <w:pPr>
        <w:pStyle w:val="ListBullet"/>
        <w:spacing w:before="20" w:after="20"/>
      </w:pPr>
      <w:r>
        <w:rPr>
          <w:color w:val="334155"/>
          <w:sz w:val="19"/>
        </w:rPr>
        <w:t>Create a dedicated Tenant profile for your first client with their exact business branding, court/doctor list, and timings.</w:t>
      </w:r>
    </w:p>
    <w:p>
      <w:pPr>
        <w:pStyle w:val="ListBullet"/>
        <w:spacing w:before="20" w:after="20"/>
      </w:pPr>
      <w:r>
        <w:rPr>
          <w:color w:val="334155"/>
          <w:sz w:val="19"/>
        </w:rPr>
        <w:t>Generate and print high-contrast, laminated Venue QR Code posters for the reception desk and entrance gate.</w:t>
      </w:r>
    </w:p>
    <w:p>
      <w:pPr>
        <w:pStyle w:val="ListBullet"/>
        <w:spacing w:before="20" w:after="20"/>
      </w:pPr>
      <w:r>
        <w:rPr>
          <w:color w:val="334155"/>
          <w:sz w:val="19"/>
        </w:rPr>
        <w:t>Conduct a 30-minute training session for the client's staff/receptionist on managing the live queue board and logging walk-in phone bookings.</w:t>
      </w:r>
    </w:p>
    <w:p>
      <w:pPr>
        <w:pStyle w:val="ListBullet"/>
        <w:spacing w:before="20" w:after="20"/>
      </w:pPr>
      <w:r>
        <w:rPr>
          <w:color w:val="334155"/>
          <w:sz w:val="19"/>
        </w:rPr>
        <w:t>Run 3 live end-to-end test bookings using real UPI payments (₹1 test transaction) and verify automated WhatsApp confirmation and invoice delivery.</w:t>
      </w:r>
    </w:p>
    <w:p>
      <w:pPr>
        <w:pStyle w:val="ListBullet"/>
        <w:spacing w:before="20" w:after="20"/>
      </w:pPr>
      <w:r>
        <w:rPr>
          <w:color w:val="334155"/>
          <w:sz w:val="19"/>
        </w:rPr>
        <w:t>Officially go live and begin redirecting all incoming phone/walk-in inquiries to the brand URL.</w:t>
      </w:r>
    </w:p>
    <w:p>
      <w:pPr>
        <w:spacing w:after="80"/>
      </w:pPr>
    </w:p>
    <w:p>
      <w:pPr>
        <w:pStyle w:val="Heading1"/>
        <w:spacing w:before="280" w:after="80"/>
      </w:pPr>
      <w:r>
        <w:rPr>
          <w:rFonts w:ascii="Arial" w:hAnsi="Arial"/>
          <w:b/>
          <w:color w:val="1E3A8A"/>
          <w:sz w:val="30"/>
        </w:rPr>
        <w:t>6. Technical Launch Checklist (Priority Breakdown)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4752"/>
            <w:shd w:fill="0F766E"/>
            <w:tcMar>
              <w:top w:w="100" w:type="dxa"/>
              <w:bottom w:w="100" w:type="dxa"/>
              <w:left w:w="100" w:type="dxa"/>
              <w:right w:w="100" w:type="dxa"/>
            </w:tcMar>
          </w:tcPr>
          <w:p>
            <w:r>
              <w:rPr>
                <w:b/>
                <w:color w:val="FFFFFF"/>
                <w:sz w:val="19"/>
              </w:rPr>
              <w:t>Task Description</w:t>
            </w:r>
          </w:p>
        </w:tc>
        <w:tc>
          <w:tcPr>
            <w:tcW w:type="dxa" w:w="1584"/>
            <w:shd w:fill="0F766E"/>
            <w:tcMar>
              <w:top w:w="100" w:type="dxa"/>
              <w:bottom w:w="100" w:type="dxa"/>
              <w:left w:w="100" w:type="dxa"/>
              <w:right w:w="100" w:type="dxa"/>
            </w:tcMar>
          </w:tcPr>
          <w:p>
            <w:r>
              <w:rPr>
                <w:b/>
                <w:color w:val="FFFFFF"/>
                <w:sz w:val="19"/>
              </w:rPr>
              <w:t>Priority</w:t>
            </w:r>
          </w:p>
        </w:tc>
        <w:tc>
          <w:tcPr>
            <w:tcW w:type="dxa" w:w="2592"/>
            <w:shd w:fill="0F766E"/>
            <w:tcMar>
              <w:top w:w="100" w:type="dxa"/>
              <w:bottom w:w="100" w:type="dxa"/>
              <w:left w:w="100" w:type="dxa"/>
              <w:right w:w="100" w:type="dxa"/>
            </w:tcMar>
          </w:tcPr>
          <w:p>
            <w:r>
              <w:rPr>
                <w:b/>
                <w:color w:val="FFFFFF"/>
                <w:sz w:val="19"/>
              </w:rPr>
              <w:t>Target Component</w:t>
            </w:r>
          </w:p>
        </w:tc>
        <w:tc>
          <w:tcPr>
            <w:tcW w:type="dxa" w:w="1152"/>
            <w:shd w:fill="0F766E"/>
            <w:tcMar>
              <w:top w:w="100" w:type="dxa"/>
              <w:bottom w:w="100" w:type="dxa"/>
              <w:left w:w="100" w:type="dxa"/>
              <w:right w:w="100" w:type="dxa"/>
            </w:tcMar>
          </w:tcPr>
          <w:p>
            <w:r>
              <w:rPr>
                <w:b/>
                <w:color w:val="FFFFFF"/>
                <w:sz w:val="19"/>
              </w:rPr>
              <w:t>Sign-Off</w:t>
            </w:r>
          </w:p>
        </w:tc>
      </w:tr>
      <w:tr>
        <w:tc>
          <w:tcPr>
            <w:tcW w:type="dxa" w:w="4752"/>
            <w:tcMar>
              <w:top w:w="50" w:type="dxa"/>
              <w:bottom w:w="50" w:type="dxa"/>
              <w:left w:w="100" w:type="dxa"/>
              <w:right w:w="100" w:type="dxa"/>
            </w:tcMar>
            <w:shd w:fill="F8FAFC"/>
          </w:tcPr>
          <w:p>
            <w:pPr>
              <w:spacing w:before="20" w:after="20"/>
            </w:pPr>
            <w:r>
              <w:rPr>
                <w:color w:val="334155"/>
                <w:sz w:val="17"/>
              </w:rPr>
              <w:t>Add Indian phone regex (^[6-9]\d{9}$) &amp; name validation</w:t>
            </w:r>
          </w:p>
        </w:tc>
        <w:tc>
          <w:tcPr>
            <w:tcW w:type="dxa" w:w="1584"/>
            <w:tcMar>
              <w:top w:w="50" w:type="dxa"/>
              <w:bottom w:w="50" w:type="dxa"/>
              <w:left w:w="100" w:type="dxa"/>
              <w:right w:w="100" w:type="dxa"/>
            </w:tcMar>
            <w:shd w:fill="FEF2F2"/>
          </w:tcPr>
          <w:p>
            <w:pPr>
              <w:spacing w:before="20" w:after="20"/>
            </w:pPr>
            <w:r>
              <w:rPr>
                <w:b/>
                <w:color w:val="B91C1C"/>
                <w:sz w:val="17"/>
              </w:rPr>
              <w:t>P0 (Must)</w:t>
            </w:r>
          </w:p>
        </w:tc>
        <w:tc>
          <w:tcPr>
            <w:tcW w:type="dxa" w:w="2592"/>
            <w:tcMar>
              <w:top w:w="50" w:type="dxa"/>
              <w:bottom w:w="50" w:type="dxa"/>
              <w:left w:w="100" w:type="dxa"/>
              <w:right w:w="100" w:type="dxa"/>
            </w:tcMar>
            <w:shd w:fill="F8FAFC"/>
          </w:tcPr>
          <w:p>
            <w:pPr>
              <w:spacing w:before="20" w:after="20"/>
            </w:pPr>
            <w:r>
              <w:rPr>
                <w:color w:val="334155"/>
                <w:sz w:val="17"/>
              </w:rPr>
              <w:t>app/blueprints/public</w:t>
            </w:r>
          </w:p>
        </w:tc>
        <w:tc>
          <w:tcPr>
            <w:tcW w:type="dxa" w:w="1152"/>
            <w:tcMar>
              <w:top w:w="50" w:type="dxa"/>
              <w:bottom w:w="50" w:type="dxa"/>
              <w:left w:w="100" w:type="dxa"/>
              <w:right w:w="100" w:type="dxa"/>
            </w:tcMar>
            <w:shd w:fill="F8FAFC"/>
          </w:tcPr>
          <w:p>
            <w:pPr>
              <w:spacing w:before="20" w:after="20"/>
            </w:pPr>
            <w:r>
              <w:rPr>
                <w:b/>
                <w:color w:val="475569"/>
                <w:sz w:val="17"/>
              </w:rPr>
              <w:t>[  ]</w:t>
            </w:r>
          </w:p>
        </w:tc>
      </w:tr>
      <w:tr>
        <w:tc>
          <w:tcPr>
            <w:tcW w:type="dxa" w:w="4752"/>
            <w:tcMar>
              <w:top w:w="50" w:type="dxa"/>
              <w:bottom w:w="50" w:type="dxa"/>
              <w:left w:w="100" w:type="dxa"/>
              <w:right w:w="100" w:type="dxa"/>
            </w:tcMar>
            <w:shd w:fill="F8FAFC"/>
          </w:tcPr>
          <w:p>
            <w:pPr>
              <w:spacing w:before="20" w:after="20"/>
            </w:pPr>
            <w:r>
              <w:rPr>
                <w:color w:val="334155"/>
                <w:sz w:val="17"/>
              </w:rPr>
              <w:t>Migrate SQLite to Managed Cloud PostgreSQL 16+</w:t>
            </w:r>
          </w:p>
        </w:tc>
        <w:tc>
          <w:tcPr>
            <w:tcW w:type="dxa" w:w="1584"/>
            <w:tcMar>
              <w:top w:w="50" w:type="dxa"/>
              <w:bottom w:w="50" w:type="dxa"/>
              <w:left w:w="100" w:type="dxa"/>
              <w:right w:w="100" w:type="dxa"/>
            </w:tcMar>
            <w:shd w:fill="FEF2F2"/>
          </w:tcPr>
          <w:p>
            <w:pPr>
              <w:spacing w:before="20" w:after="20"/>
            </w:pPr>
            <w:r>
              <w:rPr>
                <w:b/>
                <w:color w:val="B91C1C"/>
                <w:sz w:val="17"/>
              </w:rPr>
              <w:t>P0 (Must)</w:t>
            </w:r>
          </w:p>
        </w:tc>
        <w:tc>
          <w:tcPr>
            <w:tcW w:type="dxa" w:w="2592"/>
            <w:tcMar>
              <w:top w:w="50" w:type="dxa"/>
              <w:bottom w:w="50" w:type="dxa"/>
              <w:left w:w="100" w:type="dxa"/>
              <w:right w:w="100" w:type="dxa"/>
            </w:tcMar>
            <w:shd w:fill="F8FAFC"/>
          </w:tcPr>
          <w:p>
            <w:pPr>
              <w:spacing w:before="20" w:after="20"/>
            </w:pPr>
            <w:r>
              <w:rPr>
                <w:color w:val="334155"/>
                <w:sz w:val="17"/>
              </w:rPr>
              <w:t>app/config.py &amp; DB</w:t>
            </w:r>
          </w:p>
        </w:tc>
        <w:tc>
          <w:tcPr>
            <w:tcW w:type="dxa" w:w="1152"/>
            <w:tcMar>
              <w:top w:w="50" w:type="dxa"/>
              <w:bottom w:w="50" w:type="dxa"/>
              <w:left w:w="100" w:type="dxa"/>
              <w:right w:w="100" w:type="dxa"/>
            </w:tcMar>
            <w:shd w:fill="F8FAFC"/>
          </w:tcPr>
          <w:p>
            <w:pPr>
              <w:spacing w:before="20" w:after="20"/>
            </w:pPr>
            <w:r>
              <w:rPr>
                <w:b/>
                <w:color w:val="475569"/>
                <w:sz w:val="17"/>
              </w:rPr>
              <w:t>[  ]</w:t>
            </w:r>
          </w:p>
        </w:tc>
      </w:tr>
      <w:tr>
        <w:tc>
          <w:tcPr>
            <w:tcW w:type="dxa" w:w="4752"/>
            <w:tcMar>
              <w:top w:w="50" w:type="dxa"/>
              <w:bottom w:w="50" w:type="dxa"/>
              <w:left w:w="100" w:type="dxa"/>
              <w:right w:w="100" w:type="dxa"/>
            </w:tcMar>
            <w:shd w:fill="F8FAFC"/>
          </w:tcPr>
          <w:p>
            <w:pPr>
              <w:spacing w:before="20" w:after="20"/>
            </w:pPr>
            <w:r>
              <w:rPr>
                <w:color w:val="334155"/>
                <w:sz w:val="17"/>
              </w:rPr>
              <w:t>Implement Razorpay Standard SDK &amp; UPI Intent Deep Links</w:t>
            </w:r>
          </w:p>
        </w:tc>
        <w:tc>
          <w:tcPr>
            <w:tcW w:type="dxa" w:w="1584"/>
            <w:tcMar>
              <w:top w:w="50" w:type="dxa"/>
              <w:bottom w:w="50" w:type="dxa"/>
              <w:left w:w="100" w:type="dxa"/>
              <w:right w:w="100" w:type="dxa"/>
            </w:tcMar>
            <w:shd w:fill="FEF2F2"/>
          </w:tcPr>
          <w:p>
            <w:pPr>
              <w:spacing w:before="20" w:after="20"/>
            </w:pPr>
            <w:r>
              <w:rPr>
                <w:b/>
                <w:color w:val="B91C1C"/>
                <w:sz w:val="17"/>
              </w:rPr>
              <w:t>P0 (Must)</w:t>
            </w:r>
          </w:p>
        </w:tc>
        <w:tc>
          <w:tcPr>
            <w:tcW w:type="dxa" w:w="2592"/>
            <w:tcMar>
              <w:top w:w="50" w:type="dxa"/>
              <w:bottom w:w="50" w:type="dxa"/>
              <w:left w:w="100" w:type="dxa"/>
              <w:right w:w="100" w:type="dxa"/>
            </w:tcMar>
            <w:shd w:fill="F8FAFC"/>
          </w:tcPr>
          <w:p>
            <w:pPr>
              <w:spacing w:before="20" w:after="20"/>
            </w:pPr>
            <w:r>
              <w:rPr>
                <w:color w:val="334155"/>
                <w:sz w:val="17"/>
              </w:rPr>
              <w:t>app/services/payment_gw</w:t>
            </w:r>
          </w:p>
        </w:tc>
        <w:tc>
          <w:tcPr>
            <w:tcW w:type="dxa" w:w="1152"/>
            <w:tcMar>
              <w:top w:w="50" w:type="dxa"/>
              <w:bottom w:w="50" w:type="dxa"/>
              <w:left w:w="100" w:type="dxa"/>
              <w:right w:w="100" w:type="dxa"/>
            </w:tcMar>
            <w:shd w:fill="F8FAFC"/>
          </w:tcPr>
          <w:p>
            <w:pPr>
              <w:spacing w:before="20" w:after="20"/>
            </w:pPr>
            <w:r>
              <w:rPr>
                <w:b/>
                <w:color w:val="475569"/>
                <w:sz w:val="17"/>
              </w:rPr>
              <w:t>[  ]</w:t>
            </w:r>
          </w:p>
        </w:tc>
      </w:tr>
      <w:tr>
        <w:tc>
          <w:tcPr>
            <w:tcW w:type="dxa" w:w="4752"/>
            <w:tcMar>
              <w:top w:w="50" w:type="dxa"/>
              <w:bottom w:w="50" w:type="dxa"/>
              <w:left w:w="100" w:type="dxa"/>
              <w:right w:w="100" w:type="dxa"/>
            </w:tcMar>
            <w:shd w:fill="F8FAFC"/>
          </w:tcPr>
          <w:p>
            <w:pPr>
              <w:spacing w:before="20" w:after="20"/>
            </w:pPr>
            <w:r>
              <w:rPr>
                <w:color w:val="334155"/>
                <w:sz w:val="17"/>
              </w:rPr>
              <w:t>Verify Razorpay Webhook HMAC &amp; auto-confirm bookings</w:t>
            </w:r>
          </w:p>
        </w:tc>
        <w:tc>
          <w:tcPr>
            <w:tcW w:type="dxa" w:w="1584"/>
            <w:tcMar>
              <w:top w:w="50" w:type="dxa"/>
              <w:bottom w:w="50" w:type="dxa"/>
              <w:left w:w="100" w:type="dxa"/>
              <w:right w:w="100" w:type="dxa"/>
            </w:tcMar>
            <w:shd w:fill="FEF2F2"/>
          </w:tcPr>
          <w:p>
            <w:pPr>
              <w:spacing w:before="20" w:after="20"/>
            </w:pPr>
            <w:r>
              <w:rPr>
                <w:b/>
                <w:color w:val="B91C1C"/>
                <w:sz w:val="17"/>
              </w:rPr>
              <w:t>P0 (Must)</w:t>
            </w:r>
          </w:p>
        </w:tc>
        <w:tc>
          <w:tcPr>
            <w:tcW w:type="dxa" w:w="2592"/>
            <w:tcMar>
              <w:top w:w="50" w:type="dxa"/>
              <w:bottom w:w="50" w:type="dxa"/>
              <w:left w:w="100" w:type="dxa"/>
              <w:right w:w="100" w:type="dxa"/>
            </w:tcMar>
            <w:shd w:fill="F8FAFC"/>
          </w:tcPr>
          <w:p>
            <w:pPr>
              <w:spacing w:before="20" w:after="20"/>
            </w:pPr>
            <w:r>
              <w:rPr>
                <w:color w:val="334155"/>
                <w:sz w:val="17"/>
              </w:rPr>
              <w:t>app/blueprints/webhooks</w:t>
            </w:r>
          </w:p>
        </w:tc>
        <w:tc>
          <w:tcPr>
            <w:tcW w:type="dxa" w:w="1152"/>
            <w:tcMar>
              <w:top w:w="50" w:type="dxa"/>
              <w:bottom w:w="50" w:type="dxa"/>
              <w:left w:w="100" w:type="dxa"/>
              <w:right w:w="100" w:type="dxa"/>
            </w:tcMar>
            <w:shd w:fill="F8FAFC"/>
          </w:tcPr>
          <w:p>
            <w:pPr>
              <w:spacing w:before="20" w:after="20"/>
            </w:pPr>
            <w:r>
              <w:rPr>
                <w:b/>
                <w:color w:val="475569"/>
                <w:sz w:val="17"/>
              </w:rPr>
              <w:t>[  ]</w:t>
            </w:r>
          </w:p>
        </w:tc>
      </w:tr>
      <w:tr>
        <w:tc>
          <w:tcPr>
            <w:tcW w:type="dxa" w:w="4752"/>
            <w:tcMar>
              <w:top w:w="50" w:type="dxa"/>
              <w:bottom w:w="50" w:type="dxa"/>
              <w:left w:w="100" w:type="dxa"/>
              <w:right w:w="100" w:type="dxa"/>
            </w:tcMar>
            <w:shd w:fill="F8FAFC"/>
          </w:tcPr>
          <w:p>
            <w:pPr>
              <w:spacing w:before="20" w:after="20"/>
            </w:pPr>
            <w:r>
              <w:rPr>
                <w:color w:val="334155"/>
                <w:sz w:val="17"/>
              </w:rPr>
              <w:t>Obtain Meta WhatsApp Business API WABA &amp; Approved Templates</w:t>
            </w:r>
          </w:p>
        </w:tc>
        <w:tc>
          <w:tcPr>
            <w:tcW w:type="dxa" w:w="1584"/>
            <w:tcMar>
              <w:top w:w="50" w:type="dxa"/>
              <w:bottom w:w="50" w:type="dxa"/>
              <w:left w:w="100" w:type="dxa"/>
              <w:right w:w="100" w:type="dxa"/>
            </w:tcMar>
            <w:shd w:fill="FEF2F2"/>
          </w:tcPr>
          <w:p>
            <w:pPr>
              <w:spacing w:before="20" w:after="20"/>
            </w:pPr>
            <w:r>
              <w:rPr>
                <w:b/>
                <w:color w:val="B91C1C"/>
                <w:sz w:val="17"/>
              </w:rPr>
              <w:t>P0 (Must)</w:t>
            </w:r>
          </w:p>
        </w:tc>
        <w:tc>
          <w:tcPr>
            <w:tcW w:type="dxa" w:w="2592"/>
            <w:tcMar>
              <w:top w:w="50" w:type="dxa"/>
              <w:bottom w:w="50" w:type="dxa"/>
              <w:left w:w="100" w:type="dxa"/>
              <w:right w:w="100" w:type="dxa"/>
            </w:tcMar>
            <w:shd w:fill="F8FAFC"/>
          </w:tcPr>
          <w:p>
            <w:pPr>
              <w:spacing w:before="20" w:after="20"/>
            </w:pPr>
            <w:r>
              <w:rPr>
                <w:color w:val="334155"/>
                <w:sz w:val="17"/>
              </w:rPr>
              <w:t>app/services/notifier</w:t>
            </w:r>
          </w:p>
        </w:tc>
        <w:tc>
          <w:tcPr>
            <w:tcW w:type="dxa" w:w="1152"/>
            <w:tcMar>
              <w:top w:w="50" w:type="dxa"/>
              <w:bottom w:w="50" w:type="dxa"/>
              <w:left w:w="100" w:type="dxa"/>
              <w:right w:w="100" w:type="dxa"/>
            </w:tcMar>
            <w:shd w:fill="F8FAFC"/>
          </w:tcPr>
          <w:p>
            <w:pPr>
              <w:spacing w:before="20" w:after="20"/>
            </w:pPr>
            <w:r>
              <w:rPr>
                <w:b/>
                <w:color w:val="475569"/>
                <w:sz w:val="17"/>
              </w:rPr>
              <w:t>[  ]</w:t>
            </w:r>
          </w:p>
        </w:tc>
      </w:tr>
      <w:tr>
        <w:tc>
          <w:tcPr>
            <w:tcW w:type="dxa" w:w="4752"/>
            <w:tcMar>
              <w:top w:w="50" w:type="dxa"/>
              <w:bottom w:w="50" w:type="dxa"/>
              <w:left w:w="100" w:type="dxa"/>
              <w:right w:w="100" w:type="dxa"/>
            </w:tcMar>
            <w:shd w:fill="F8FAFC"/>
          </w:tcPr>
          <w:p>
            <w:pPr>
              <w:spacing w:before="20" w:after="20"/>
            </w:pPr>
            <w:r>
              <w:rPr>
                <w:color w:val="334155"/>
                <w:sz w:val="17"/>
              </w:rPr>
              <w:t>Upload PDF Invoices to Cloud S3 &amp; send link via WhatsApp</w:t>
            </w:r>
          </w:p>
        </w:tc>
        <w:tc>
          <w:tcPr>
            <w:tcW w:type="dxa" w:w="1584"/>
            <w:tcMar>
              <w:top w:w="50" w:type="dxa"/>
              <w:bottom w:w="50" w:type="dxa"/>
              <w:left w:w="100" w:type="dxa"/>
              <w:right w:w="100" w:type="dxa"/>
            </w:tcMar>
            <w:shd w:fill="FFFBEB"/>
          </w:tcPr>
          <w:p>
            <w:pPr>
              <w:spacing w:before="20" w:after="20"/>
            </w:pPr>
            <w:r>
              <w:rPr>
                <w:b/>
                <w:color w:val="B45309"/>
                <w:sz w:val="17"/>
              </w:rPr>
              <w:t>P1 (High)</w:t>
            </w:r>
          </w:p>
        </w:tc>
        <w:tc>
          <w:tcPr>
            <w:tcW w:type="dxa" w:w="2592"/>
            <w:tcMar>
              <w:top w:w="50" w:type="dxa"/>
              <w:bottom w:w="50" w:type="dxa"/>
              <w:left w:w="100" w:type="dxa"/>
              <w:right w:w="100" w:type="dxa"/>
            </w:tcMar>
            <w:shd w:fill="F8FAFC"/>
          </w:tcPr>
          <w:p>
            <w:pPr>
              <w:spacing w:before="20" w:after="20"/>
            </w:pPr>
            <w:r>
              <w:rPr>
                <w:color w:val="334155"/>
                <w:sz w:val="17"/>
              </w:rPr>
              <w:t>app/services/pdf_invoice</w:t>
            </w:r>
          </w:p>
        </w:tc>
        <w:tc>
          <w:tcPr>
            <w:tcW w:type="dxa" w:w="1152"/>
            <w:tcMar>
              <w:top w:w="50" w:type="dxa"/>
              <w:bottom w:w="50" w:type="dxa"/>
              <w:left w:w="100" w:type="dxa"/>
              <w:right w:w="100" w:type="dxa"/>
            </w:tcMar>
            <w:shd w:fill="F8FAFC"/>
          </w:tcPr>
          <w:p>
            <w:pPr>
              <w:spacing w:before="20" w:after="20"/>
            </w:pPr>
            <w:r>
              <w:rPr>
                <w:b/>
                <w:color w:val="475569"/>
                <w:sz w:val="17"/>
              </w:rPr>
              <w:t>[  ]</w:t>
            </w:r>
          </w:p>
        </w:tc>
      </w:tr>
      <w:tr>
        <w:tc>
          <w:tcPr>
            <w:tcW w:type="dxa" w:w="4752"/>
            <w:tcMar>
              <w:top w:w="50" w:type="dxa"/>
              <w:bottom w:w="50" w:type="dxa"/>
              <w:left w:w="100" w:type="dxa"/>
              <w:right w:w="100" w:type="dxa"/>
            </w:tcMar>
            <w:shd w:fill="F8FAFC"/>
          </w:tcPr>
          <w:p>
            <w:pPr>
              <w:spacing w:before="20" w:after="20"/>
            </w:pPr>
            <w:r>
              <w:rPr>
                <w:color w:val="334155"/>
                <w:sz w:val="17"/>
              </w:rPr>
              <w:t>Deploy on Cloud VM with Gunicorn, Nginx &amp; Let's Encrypt SSL</w:t>
            </w:r>
          </w:p>
        </w:tc>
        <w:tc>
          <w:tcPr>
            <w:tcW w:type="dxa" w:w="1584"/>
            <w:tcMar>
              <w:top w:w="50" w:type="dxa"/>
              <w:bottom w:w="50" w:type="dxa"/>
              <w:left w:w="100" w:type="dxa"/>
              <w:right w:w="100" w:type="dxa"/>
            </w:tcMar>
            <w:shd w:fill="FEF2F2"/>
          </w:tcPr>
          <w:p>
            <w:pPr>
              <w:spacing w:before="20" w:after="20"/>
            </w:pPr>
            <w:r>
              <w:rPr>
                <w:b/>
                <w:color w:val="B91C1C"/>
                <w:sz w:val="17"/>
              </w:rPr>
              <w:t>P0 (Must)</w:t>
            </w:r>
          </w:p>
        </w:tc>
        <w:tc>
          <w:tcPr>
            <w:tcW w:type="dxa" w:w="2592"/>
            <w:tcMar>
              <w:top w:w="50" w:type="dxa"/>
              <w:bottom w:w="50" w:type="dxa"/>
              <w:left w:w="100" w:type="dxa"/>
              <w:right w:w="100" w:type="dxa"/>
            </w:tcMar>
            <w:shd w:fill="F8FAFC"/>
          </w:tcPr>
          <w:p>
            <w:pPr>
              <w:spacing w:before="20" w:after="20"/>
            </w:pPr>
            <w:r>
              <w:rPr>
                <w:color w:val="334155"/>
                <w:sz w:val="17"/>
              </w:rPr>
              <w:t>Server Infrastructure</w:t>
            </w:r>
          </w:p>
        </w:tc>
        <w:tc>
          <w:tcPr>
            <w:tcW w:type="dxa" w:w="1152"/>
            <w:tcMar>
              <w:top w:w="50" w:type="dxa"/>
              <w:bottom w:w="50" w:type="dxa"/>
              <w:left w:w="100" w:type="dxa"/>
              <w:right w:w="100" w:type="dxa"/>
            </w:tcMar>
            <w:shd w:fill="F8FAFC"/>
          </w:tcPr>
          <w:p>
            <w:pPr>
              <w:spacing w:before="20" w:after="20"/>
            </w:pPr>
            <w:r>
              <w:rPr>
                <w:b/>
                <w:color w:val="475569"/>
                <w:sz w:val="17"/>
              </w:rPr>
              <w:t>[  ]</w:t>
            </w:r>
          </w:p>
        </w:tc>
      </w:tr>
      <w:tr>
        <w:tc>
          <w:tcPr>
            <w:tcW w:type="dxa" w:w="4752"/>
            <w:tcMar>
              <w:top w:w="50" w:type="dxa"/>
              <w:bottom w:w="50" w:type="dxa"/>
              <w:left w:w="100" w:type="dxa"/>
              <w:right w:w="100" w:type="dxa"/>
            </w:tcMar>
            <w:shd w:fill="F8FAFC"/>
          </w:tcPr>
          <w:p>
            <w:pPr>
              <w:spacing w:before="20" w:after="20"/>
            </w:pPr>
            <w:r>
              <w:rPr>
                <w:color w:val="334155"/>
                <w:sz w:val="17"/>
              </w:rPr>
              <w:t>Setup automated Linux Cron for 24h/2h reminders &amp; stale hold clean</w:t>
            </w:r>
          </w:p>
        </w:tc>
        <w:tc>
          <w:tcPr>
            <w:tcW w:type="dxa" w:w="1584"/>
            <w:tcMar>
              <w:top w:w="50" w:type="dxa"/>
              <w:bottom w:w="50" w:type="dxa"/>
              <w:left w:w="100" w:type="dxa"/>
              <w:right w:w="100" w:type="dxa"/>
            </w:tcMar>
            <w:shd w:fill="FFFBEB"/>
          </w:tcPr>
          <w:p>
            <w:pPr>
              <w:spacing w:before="20" w:after="20"/>
            </w:pPr>
            <w:r>
              <w:rPr>
                <w:b/>
                <w:color w:val="B45309"/>
                <w:sz w:val="17"/>
              </w:rPr>
              <w:t>P1 (High)</w:t>
            </w:r>
          </w:p>
        </w:tc>
        <w:tc>
          <w:tcPr>
            <w:tcW w:type="dxa" w:w="2592"/>
            <w:tcMar>
              <w:top w:w="50" w:type="dxa"/>
              <w:bottom w:w="50" w:type="dxa"/>
              <w:left w:w="100" w:type="dxa"/>
              <w:right w:w="100" w:type="dxa"/>
            </w:tcMar>
            <w:shd w:fill="F8FAFC"/>
          </w:tcPr>
          <w:p>
            <w:pPr>
              <w:spacing w:before="20" w:after="20"/>
            </w:pPr>
            <w:r>
              <w:rPr>
                <w:color w:val="334155"/>
                <w:sz w:val="17"/>
              </w:rPr>
              <w:t>System Cron / Celery</w:t>
            </w:r>
          </w:p>
        </w:tc>
        <w:tc>
          <w:tcPr>
            <w:tcW w:type="dxa" w:w="1152"/>
            <w:tcMar>
              <w:top w:w="50" w:type="dxa"/>
              <w:bottom w:w="50" w:type="dxa"/>
              <w:left w:w="100" w:type="dxa"/>
              <w:right w:w="100" w:type="dxa"/>
            </w:tcMar>
            <w:shd w:fill="F8FAFC"/>
          </w:tcPr>
          <w:p>
            <w:pPr>
              <w:spacing w:before="20" w:after="20"/>
            </w:pPr>
            <w:r>
              <w:rPr>
                <w:b/>
                <w:color w:val="475569"/>
                <w:sz w:val="17"/>
              </w:rPr>
              <w:t>[  ]</w:t>
            </w:r>
          </w:p>
        </w:tc>
      </w:tr>
      <w:tr>
        <w:tc>
          <w:tcPr>
            <w:tcW w:type="dxa" w:w="4752"/>
            <w:tcMar>
              <w:top w:w="50" w:type="dxa"/>
              <w:bottom w:w="50" w:type="dxa"/>
              <w:left w:w="100" w:type="dxa"/>
              <w:right w:w="100" w:type="dxa"/>
            </w:tcMar>
            <w:shd w:fill="F8FAFC"/>
          </w:tcPr>
          <w:p>
            <w:pPr>
              <w:spacing w:before="20" w:after="20"/>
            </w:pPr>
            <w:r>
              <w:rPr>
                <w:color w:val="334155"/>
                <w:sz w:val="17"/>
              </w:rPr>
              <w:t>Add Flask-Limiter rate limiting &amp; Anti-bot honeypot</w:t>
            </w:r>
          </w:p>
        </w:tc>
        <w:tc>
          <w:tcPr>
            <w:tcW w:type="dxa" w:w="1584"/>
            <w:tcMar>
              <w:top w:w="50" w:type="dxa"/>
              <w:bottom w:w="50" w:type="dxa"/>
              <w:left w:w="100" w:type="dxa"/>
              <w:right w:w="100" w:type="dxa"/>
            </w:tcMar>
            <w:shd w:fill="FFFBEB"/>
          </w:tcPr>
          <w:p>
            <w:pPr>
              <w:spacing w:before="20" w:after="20"/>
            </w:pPr>
            <w:r>
              <w:rPr>
                <w:b/>
                <w:color w:val="B45309"/>
                <w:sz w:val="17"/>
              </w:rPr>
              <w:t>P1 (High)</w:t>
            </w:r>
          </w:p>
        </w:tc>
        <w:tc>
          <w:tcPr>
            <w:tcW w:type="dxa" w:w="2592"/>
            <w:tcMar>
              <w:top w:w="50" w:type="dxa"/>
              <w:bottom w:w="50" w:type="dxa"/>
              <w:left w:w="100" w:type="dxa"/>
              <w:right w:w="100" w:type="dxa"/>
            </w:tcMar>
            <w:shd w:fill="F8FAFC"/>
          </w:tcPr>
          <w:p>
            <w:pPr>
              <w:spacing w:before="20" w:after="20"/>
            </w:pPr>
            <w:r>
              <w:rPr>
                <w:color w:val="334155"/>
                <w:sz w:val="17"/>
              </w:rPr>
              <w:t>app/middleware/auth</w:t>
            </w:r>
          </w:p>
        </w:tc>
        <w:tc>
          <w:tcPr>
            <w:tcW w:type="dxa" w:w="1152"/>
            <w:tcMar>
              <w:top w:w="50" w:type="dxa"/>
              <w:bottom w:w="50" w:type="dxa"/>
              <w:left w:w="100" w:type="dxa"/>
              <w:right w:w="100" w:type="dxa"/>
            </w:tcMar>
            <w:shd w:fill="F8FAFC"/>
          </w:tcPr>
          <w:p>
            <w:pPr>
              <w:spacing w:before="20" w:after="20"/>
            </w:pPr>
            <w:r>
              <w:rPr>
                <w:b/>
                <w:color w:val="475569"/>
                <w:sz w:val="17"/>
              </w:rPr>
              <w:t>[  ]</w:t>
            </w:r>
          </w:p>
        </w:tc>
      </w:tr>
      <w:tr>
        <w:tc>
          <w:tcPr>
            <w:tcW w:type="dxa" w:w="4752"/>
            <w:tcMar>
              <w:top w:w="50" w:type="dxa"/>
              <w:bottom w:w="50" w:type="dxa"/>
              <w:left w:w="100" w:type="dxa"/>
              <w:right w:w="100" w:type="dxa"/>
            </w:tcMar>
            <w:shd w:fill="F8FAFC"/>
          </w:tcPr>
          <w:p>
            <w:pPr>
              <w:spacing w:before="20" w:after="20"/>
            </w:pPr>
            <w:r>
              <w:rPr>
                <w:color w:val="334155"/>
                <w:sz w:val="17"/>
              </w:rPr>
              <w:t>Create Tenant Self-Onboarding Wizard for new owners</w:t>
            </w:r>
          </w:p>
        </w:tc>
        <w:tc>
          <w:tcPr>
            <w:tcW w:type="dxa" w:w="1584"/>
            <w:tcMar>
              <w:top w:w="50" w:type="dxa"/>
              <w:bottom w:w="50" w:type="dxa"/>
              <w:left w:w="100" w:type="dxa"/>
              <w:right w:w="100" w:type="dxa"/>
            </w:tcMar>
            <w:shd w:fill="FFFBEB"/>
          </w:tcPr>
          <w:p>
            <w:pPr>
              <w:spacing w:before="20" w:after="20"/>
            </w:pPr>
            <w:r>
              <w:rPr>
                <w:b/>
                <w:color w:val="475569"/>
                <w:sz w:val="17"/>
              </w:rPr>
              <w:t>P2 (Medium)</w:t>
            </w:r>
          </w:p>
        </w:tc>
        <w:tc>
          <w:tcPr>
            <w:tcW w:type="dxa" w:w="2592"/>
            <w:tcMar>
              <w:top w:w="50" w:type="dxa"/>
              <w:bottom w:w="50" w:type="dxa"/>
              <w:left w:w="100" w:type="dxa"/>
              <w:right w:w="100" w:type="dxa"/>
            </w:tcMar>
            <w:shd w:fill="F8FAFC"/>
          </w:tcPr>
          <w:p>
            <w:pPr>
              <w:spacing w:before="20" w:after="20"/>
            </w:pPr>
            <w:r>
              <w:rPr>
                <w:color w:val="334155"/>
                <w:sz w:val="17"/>
              </w:rPr>
              <w:t>app/blueprints/dashboard</w:t>
            </w:r>
          </w:p>
        </w:tc>
        <w:tc>
          <w:tcPr>
            <w:tcW w:type="dxa" w:w="1152"/>
            <w:tcMar>
              <w:top w:w="50" w:type="dxa"/>
              <w:bottom w:w="50" w:type="dxa"/>
              <w:left w:w="100" w:type="dxa"/>
              <w:right w:w="100" w:type="dxa"/>
            </w:tcMar>
            <w:shd w:fill="F8FAFC"/>
          </w:tcPr>
          <w:p>
            <w:pPr>
              <w:spacing w:before="20" w:after="20"/>
            </w:pPr>
            <w:r>
              <w:rPr>
                <w:b/>
                <w:color w:val="475569"/>
                <w:sz w:val="17"/>
              </w:rPr>
              <w:t>[  ]</w:t>
            </w:r>
          </w:p>
        </w:tc>
      </w:tr>
      <w:tr>
        <w:tc>
          <w:tcPr>
            <w:tcW w:type="dxa" w:w="4752"/>
            <w:tcMar>
              <w:top w:w="50" w:type="dxa"/>
              <w:bottom w:w="50" w:type="dxa"/>
              <w:left w:w="100" w:type="dxa"/>
              <w:right w:w="100" w:type="dxa"/>
            </w:tcMar>
            <w:shd w:fill="F8FAFC"/>
          </w:tcPr>
          <w:p>
            <w:pPr>
              <w:spacing w:before="20" w:after="20"/>
            </w:pPr>
            <w:r>
              <w:rPr>
                <w:color w:val="334155"/>
                <w:sz w:val="17"/>
              </w:rPr>
              <w:t>Design and print High-Contrast Venue QR Poster for Client</w:t>
            </w:r>
          </w:p>
        </w:tc>
        <w:tc>
          <w:tcPr>
            <w:tcW w:type="dxa" w:w="1584"/>
            <w:tcMar>
              <w:top w:w="50" w:type="dxa"/>
              <w:bottom w:w="50" w:type="dxa"/>
              <w:left w:w="100" w:type="dxa"/>
              <w:right w:w="100" w:type="dxa"/>
            </w:tcMar>
            <w:shd w:fill="FFFBEB"/>
          </w:tcPr>
          <w:p>
            <w:pPr>
              <w:spacing w:before="20" w:after="20"/>
            </w:pPr>
            <w:r>
              <w:rPr>
                <w:b/>
                <w:color w:val="B45309"/>
                <w:sz w:val="17"/>
              </w:rPr>
              <w:t>P1 (High)</w:t>
            </w:r>
          </w:p>
        </w:tc>
        <w:tc>
          <w:tcPr>
            <w:tcW w:type="dxa" w:w="2592"/>
            <w:tcMar>
              <w:top w:w="50" w:type="dxa"/>
              <w:bottom w:w="50" w:type="dxa"/>
              <w:left w:w="100" w:type="dxa"/>
              <w:right w:w="100" w:type="dxa"/>
            </w:tcMar>
            <w:shd w:fill="F8FAFC"/>
          </w:tcPr>
          <w:p>
            <w:pPr>
              <w:spacing w:before="20" w:after="20"/>
            </w:pPr>
            <w:r>
              <w:rPr>
                <w:color w:val="334155"/>
                <w:sz w:val="17"/>
              </w:rPr>
              <w:t>Client Venue Operations</w:t>
            </w:r>
          </w:p>
        </w:tc>
        <w:tc>
          <w:tcPr>
            <w:tcW w:type="dxa" w:w="1152"/>
            <w:tcMar>
              <w:top w:w="50" w:type="dxa"/>
              <w:bottom w:w="50" w:type="dxa"/>
              <w:left w:w="100" w:type="dxa"/>
              <w:right w:w="100" w:type="dxa"/>
            </w:tcMar>
            <w:shd w:fill="F8FAFC"/>
          </w:tcPr>
          <w:p>
            <w:pPr>
              <w:spacing w:before="20" w:after="20"/>
            </w:pPr>
            <w:r>
              <w:rPr>
                <w:b/>
                <w:color w:val="475569"/>
                <w:sz w:val="17"/>
              </w:rPr>
              <w:t>[  ]</w:t>
            </w:r>
          </w:p>
        </w:tc>
      </w:tr>
      <w:tr>
        <w:tc>
          <w:tcPr>
            <w:tcW w:type="dxa" w:w="4752"/>
            <w:tcMar>
              <w:top w:w="50" w:type="dxa"/>
              <w:bottom w:w="50" w:type="dxa"/>
              <w:left w:w="100" w:type="dxa"/>
              <w:right w:w="100" w:type="dxa"/>
            </w:tcMar>
            <w:shd w:fill="F8FAFC"/>
          </w:tcPr>
          <w:p>
            <w:pPr>
              <w:spacing w:before="20" w:after="20"/>
            </w:pPr>
            <w:r>
              <w:rPr>
                <w:color w:val="334155"/>
                <w:sz w:val="17"/>
              </w:rPr>
              <w:t>Staff / Receptionist live demo and 30-min training</w:t>
            </w:r>
          </w:p>
        </w:tc>
        <w:tc>
          <w:tcPr>
            <w:tcW w:type="dxa" w:w="1584"/>
            <w:tcMar>
              <w:top w:w="50" w:type="dxa"/>
              <w:bottom w:w="50" w:type="dxa"/>
              <w:left w:w="100" w:type="dxa"/>
              <w:right w:w="100" w:type="dxa"/>
            </w:tcMar>
            <w:shd w:fill="FFFBEB"/>
          </w:tcPr>
          <w:p>
            <w:pPr>
              <w:spacing w:before="20" w:after="20"/>
            </w:pPr>
            <w:r>
              <w:rPr>
                <w:b/>
                <w:color w:val="B45309"/>
                <w:sz w:val="17"/>
              </w:rPr>
              <w:t>P1 (High)</w:t>
            </w:r>
          </w:p>
        </w:tc>
        <w:tc>
          <w:tcPr>
            <w:tcW w:type="dxa" w:w="2592"/>
            <w:tcMar>
              <w:top w:w="50" w:type="dxa"/>
              <w:bottom w:w="50" w:type="dxa"/>
              <w:left w:w="100" w:type="dxa"/>
              <w:right w:w="100" w:type="dxa"/>
            </w:tcMar>
            <w:shd w:fill="F8FAFC"/>
          </w:tcPr>
          <w:p>
            <w:pPr>
              <w:spacing w:before="20" w:after="20"/>
            </w:pPr>
            <w:r>
              <w:rPr>
                <w:color w:val="334155"/>
                <w:sz w:val="17"/>
              </w:rPr>
              <w:t>Client Venue Operations</w:t>
            </w:r>
          </w:p>
        </w:tc>
        <w:tc>
          <w:tcPr>
            <w:tcW w:type="dxa" w:w="1152"/>
            <w:tcMar>
              <w:top w:w="50" w:type="dxa"/>
              <w:bottom w:w="50" w:type="dxa"/>
              <w:left w:w="100" w:type="dxa"/>
              <w:right w:w="100" w:type="dxa"/>
            </w:tcMar>
            <w:shd w:fill="F8FAFC"/>
          </w:tcPr>
          <w:p>
            <w:pPr>
              <w:spacing w:before="20" w:after="20"/>
            </w:pPr>
            <w:r>
              <w:rPr>
                <w:b/>
                <w:color w:val="475569"/>
                <w:sz w:val="17"/>
              </w:rPr>
              <w:t>[  ]</w:t>
            </w:r>
          </w:p>
        </w:tc>
      </w:tr>
    </w:tbl>
    <w:p>
      <w:pPr>
        <w:spacing w:after="160"/>
      </w:pPr>
    </w:p>
    <w:p>
      <w:pPr>
        <w:pStyle w:val="Heading1"/>
        <w:spacing w:before="280" w:after="80"/>
      </w:pPr>
      <w:r>
        <w:rPr>
          <w:rFonts w:ascii="Arial" w:hAnsi="Arial"/>
          <w:b/>
          <w:color w:val="1E3A8A"/>
          <w:sz w:val="30"/>
        </w:rPr>
        <w:t>7. Conclusion &amp; Next Steps</w:t>
      </w:r>
    </w:p>
    <w:p>
      <w:r>
        <w:t xml:space="preserve">SlotEngine has a rock-solid core foundation: its multi-tenant isolation, atomic concurrency hold engine, dynamic pricing models, and bilingual HTMX interfaces are already completely implemented and tested. The reason the project felt incomplete during your hands-on test is simply that the 'production bridge' has not been crossed yet: the gateway is set to mock, the database is local SQLite, the WhatsApp credentials are dummy placeholders, and input validation is permissive. </w:t>
        <w:br/>
        <w:br/>
        <w:t>By executing the 4-phase master plan outlined in this document, you can turn SlotEngine into a high-converting, live cloud SaaS ready to process real UPI revenues for your very first paying business client within 1 to 2 weeks.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