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2D9C"/>
          <w:sz w:val="48"/>
        </w:rPr>
        <w:t>IBM Bob Hackathon &amp; Lablab.ai Winning Field Analysis</w:t>
      </w:r>
    </w:p>
    <w:p>
      <w:pPr>
        <w:spacing w:before="0" w:after="320"/>
      </w:pPr>
      <w:r>
        <w:rPr>
          <w:rFonts w:ascii="Arial" w:hAnsi="Arial"/>
          <w:i/>
          <w:color w:val="6C757D"/>
          <w:sz w:val="24"/>
        </w:rPr>
        <w:t>A Comprehensive Study of 25+ AI Hackathons, Winning Categories, and Strategic Architecture Patterns</w:t>
      </w:r>
    </w:p>
    <w:p>
      <w:pPr>
        <w:spacing w:before="0" w:after="360"/>
      </w:pPr>
      <w:r>
        <w:rPr>
          <w:color w:val="DCE0E6"/>
          <w:sz w:val="16"/>
        </w:rPr>
        <w:t>_________________________________________________________________________________</w:t>
      </w:r>
    </w:p>
    <w:p>
      <w:pPr>
        <w:pStyle w:val="Heading1"/>
        <w:spacing w:before="240" w:after="120"/>
      </w:pPr>
      <w:r>
        <w:rPr>
          <w:rFonts w:ascii="Arial" w:hAnsi="Arial"/>
          <w:b/>
          <w:color w:val="002D9C"/>
          <w:sz w:val="32"/>
        </w:rPr>
        <w:t>1. Executive Summary</w:t>
      </w:r>
    </w:p>
    <w:p>
      <w:pPr>
        <w:spacing w:after="160" w:line="276" w:lineRule="auto"/>
      </w:pPr>
      <w:r>
        <w:t>This report provides an in-depth analysis of the IBM Bob Hackathon series and synthesizes data across 25+ major AI hackathons hosted on the lablab.ai ecosystem. By reviewing winning submissions, podium placements, and judging rubrics, this investigation pinpoints which domains and problem spaces achieve the highest success rate, and isolates the architectural hallmarks shared by championship-level AI projects.</w:t>
      </w:r>
    </w:p>
    <w:tbl>
      <w:tblPr>
        <w:tblW w:type="auto" w:w="0"/>
        <w:jc w:val="center"/>
        <w:tblLayout w:type="fixed"/>
        <w:tblLook w:firstColumn="1" w:firstRow="1" w:lastColumn="0" w:lastRow="0" w:noHBand="0" w:noVBand="1" w:val="04A0"/>
      </w:tblPr>
      <w:tblGrid>
        <w:gridCol w:w="9936"/>
      </w:tblGrid>
      <w:tr>
        <w:tc>
          <w:tcPr>
            <w:tcW w:type="dxa" w:w="9936"/>
            <w:shd w:fill="EEF4FF"/>
            <w:tcMar>
              <w:top w:w="140" w:type="dxa"/>
              <w:bottom w:w="140" w:type="dxa"/>
              <w:left w:w="200" w:type="dxa"/>
              <w:right w:w="200" w:type="dxa"/>
            </w:tcMar>
            <w:tcBorders>
              <w:top w:val="none"/>
              <w:left w:val="single" w:sz="24" w:space="0" w:color="0F62FE"/>
              <w:bottom w:val="none"/>
              <w:right w:val="none"/>
            </w:tcBorders>
          </w:tcPr>
          <w:p>
            <w:pPr>
              <w:spacing w:before="40" w:after="40" w:line="276" w:lineRule="auto"/>
            </w:pPr>
            <w:r>
              <w:rPr>
                <w:b/>
                <w:color w:val="002D9C"/>
              </w:rPr>
              <w:t xml:space="preserve">Key Finding: </w:t>
            </w:r>
            <w:r>
              <w:t>Simple LLM 'wrapper' applications and general chatbots virtually never win modern hackathons. Over 70% of winning projects are high-leverage B2B workflow automations, developer tooling, healthcare intelligence, or algorithmic financial systems that combine probabilistic LLM decision-making with strict deterministic guardrails, sandboxes, or cryptographic verifications.</w:t>
            </w:r>
          </w:p>
        </w:tc>
      </w:tr>
    </w:tbl>
    <w:p>
      <w:pPr>
        <w:pStyle w:val="Heading1"/>
        <w:spacing w:before="360" w:after="120"/>
      </w:pPr>
      <w:r>
        <w:rPr>
          <w:rFonts w:ascii="Arial" w:hAnsi="Arial"/>
          <w:b/>
          <w:color w:val="002D9C"/>
          <w:sz w:val="32"/>
        </w:rPr>
        <w:t>2. IBM Bob &amp; The IBM Bob Hackathon Deep Dive</w:t>
      </w:r>
    </w:p>
    <w:p>
      <w:pPr>
        <w:spacing w:after="120" w:line="276" w:lineRule="auto"/>
      </w:pPr>
      <w:r>
        <w:t>IBM Bob is IBM's cutting-edge AI developer partner engineered to operate across complete codebases rather than single-file snippets. While traditional coding copilots focus on line autocomplete, IBM Bob understands repository topologies, multi-file architectural constraints, debugging lifecycles, codebase onboarding, and automated enterprise refactoring.</w:t>
      </w:r>
    </w:p>
    <w:p>
      <w:pPr>
        <w:pStyle w:val="Heading2"/>
        <w:spacing w:before="200" w:after="80"/>
      </w:pPr>
      <w:r>
        <w:rPr>
          <w:b/>
          <w:color w:val="0F62FE"/>
          <w:sz w:val="26"/>
        </w:rPr>
        <w:t>IBM Bob Hackathon 1.0 (Recap &amp; Metrics)</w:t>
      </w:r>
    </w:p>
    <w:p>
      <w:pPr>
        <w:spacing w:after="80" w:line="276" w:lineRule="auto"/>
      </w:pPr>
      <w:r>
        <w:t>The first edition of the IBM Bob Hackathon concluded with massive community engagement, establishing itself as one of lablab.ai's premier developer tooling competitions:</w:t>
      </w:r>
    </w:p>
    <w:p>
      <w:pPr>
        <w:pStyle w:val="ListBullet"/>
        <w:spacing w:after="60" w:line="264" w:lineRule="auto"/>
      </w:pPr>
      <w:r>
        <w:rPr>
          <w:b/>
          <w:color w:val="002D9C"/>
        </w:rPr>
        <w:t xml:space="preserve">Participants: </w:t>
      </w:r>
      <w:r>
        <w:t>5,628 developers worldwide across 1,671 teams.</w:t>
      </w:r>
    </w:p>
    <w:p>
      <w:pPr>
        <w:pStyle w:val="ListBullet"/>
        <w:spacing w:after="60" w:line="264" w:lineRule="auto"/>
      </w:pPr>
      <w:r>
        <w:rPr>
          <w:b/>
          <w:color w:val="002D9C"/>
        </w:rPr>
        <w:t xml:space="preserve">Submissions: </w:t>
      </w:r>
      <w:r>
        <w:t>503 completed, fully functioning software repositories submitted.</w:t>
      </w:r>
    </w:p>
    <w:p>
      <w:pPr>
        <w:pStyle w:val="ListBullet"/>
        <w:spacing w:after="60" w:line="264" w:lineRule="auto"/>
      </w:pPr>
      <w:r>
        <w:rPr>
          <w:b/>
          <w:color w:val="002D9C"/>
        </w:rPr>
        <w:t xml:space="preserve">1st Place Champion: </w:t>
      </w:r>
      <w:r>
        <w:t>Pedigree (Team CtrlCats) — A cryptographic provenance layer for AI-written code. Pedigree generates a tamper-evident, auditable verification boundary by cryptographically signing commits to certify whether code was produced by AI, human review, or a verified hybrid pipeline.</w:t>
      </w:r>
    </w:p>
    <w:p>
      <w:pPr>
        <w:pStyle w:val="ListBullet"/>
        <w:spacing w:after="60" w:line="264" w:lineRule="auto"/>
      </w:pPr>
      <w:r>
        <w:rPr>
          <w:b/>
          <w:color w:val="002D9C"/>
        </w:rPr>
        <w:t xml:space="preserve">2nd Place Runner-Up: </w:t>
      </w:r>
      <w:r>
        <w:t>Atlas — A deep codebase indexing and architectural graph reasoning agent for legacy enterprise repositories.</w:t>
      </w:r>
    </w:p>
    <w:p>
      <w:pPr>
        <w:pStyle w:val="ListBullet"/>
        <w:spacing w:after="60" w:line="264" w:lineRule="auto"/>
      </w:pPr>
      <w:r>
        <w:rPr>
          <w:b/>
          <w:color w:val="002D9C"/>
        </w:rPr>
        <w:t xml:space="preserve">3rd Place: </w:t>
      </w:r>
      <w:r>
        <w:t>Sandbox — Castles Crumble (Team Fix Them First) — Autonomous vulnerability discovery engine with automated self-healing sandboxed test execution.</w:t>
      </w:r>
    </w:p>
    <w:p>
      <w:pPr>
        <w:pStyle w:val="Heading2"/>
        <w:spacing w:before="200" w:after="80"/>
      </w:pPr>
      <w:r>
        <w:rPr>
          <w:b/>
          <w:color w:val="0F62FE"/>
          <w:sz w:val="26"/>
        </w:rPr>
        <w:t>Upcoming: IBM Bob 2.0 Hackathon</w:t>
      </w:r>
    </w:p>
    <w:p>
      <w:pPr>
        <w:spacing w:after="160" w:line="276" w:lineRule="auto"/>
      </w:pPr>
      <w:r>
        <w:t>The IBM Bob 2.0 Hackathon is slated for September 25–27, 2026, featuring a $10,000 prize pool. The competition challenges builders to architect next-generation autonomous software engineering agents, focusing on multi-agent collaboration, codebase modernizations, automated SRE remediation, and compliant enterprise code governance.</w:t>
      </w:r>
    </w:p>
    <w:p>
      <w:pPr>
        <w:pStyle w:val="Heading1"/>
        <w:spacing w:before="360" w:after="120"/>
      </w:pPr>
      <w:r>
        <w:rPr>
          <w:rFonts w:ascii="Arial" w:hAnsi="Arial"/>
          <w:b/>
          <w:color w:val="002D9C"/>
          <w:sz w:val="32"/>
        </w:rPr>
        <w:t>3. Cross-Section: 25+ Lablab.ai Hackathons &amp; Top Winners</w:t>
      </w:r>
    </w:p>
    <w:p>
      <w:pPr>
        <w:spacing w:after="160" w:line="276" w:lineRule="auto"/>
      </w:pPr>
      <w:r>
        <w:t>To identify empirical patterns in what judges reward, the table below catalogs 25 diverse hackathons hosted across the lablab.ai ecosystem, their top-placing project, the specific domain field, and the technical innovation that secured the win.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76"/>
            <w:shd w:fill="0F62FE"/>
            <w:tcMar>
              <w:top w:w="120" w:type="dxa"/>
              <w:bottom w:w="120" w:type="dxa"/>
              <w:left w:w="100" w:type="dxa"/>
              <w:right w:w="100" w:type="dxa"/>
            </w:tcMar>
            <w:vAlign w:val="center"/>
          </w:tcPr>
          <w:p>
            <w:pPr>
              <w:spacing w:before="0" w:after="0"/>
              <w:jc w:val="left"/>
            </w:pPr>
            <w:r>
              <w:rPr>
                <w:rFonts w:ascii="Arial" w:hAnsi="Arial"/>
                <w:b/>
                <w:color w:val="FFFFFF"/>
                <w:sz w:val="18"/>
              </w:rPr>
              <w:t>#</w:t>
            </w:r>
          </w:p>
        </w:tc>
        <w:tc>
          <w:tcPr>
            <w:tcW w:type="dxa" w:w="2160"/>
            <w:shd w:fill="0F62FE"/>
            <w:tcMar>
              <w:top w:w="120" w:type="dxa"/>
              <w:bottom w:w="120" w:type="dxa"/>
              <w:left w:w="100" w:type="dxa"/>
              <w:right w:w="100" w:type="dxa"/>
            </w:tcMar>
            <w:vAlign w:val="center"/>
          </w:tcPr>
          <w:p>
            <w:pPr>
              <w:spacing w:before="0" w:after="0"/>
              <w:jc w:val="left"/>
            </w:pPr>
            <w:r>
              <w:rPr>
                <w:rFonts w:ascii="Arial" w:hAnsi="Arial"/>
                <w:b/>
                <w:color w:val="FFFFFF"/>
                <w:sz w:val="18"/>
              </w:rPr>
              <w:t>Hackathon Event</w:t>
            </w:r>
          </w:p>
        </w:tc>
        <w:tc>
          <w:tcPr>
            <w:tcW w:type="dxa" w:w="2016"/>
            <w:shd w:fill="0F62FE"/>
            <w:tcMar>
              <w:top w:w="120" w:type="dxa"/>
              <w:bottom w:w="120" w:type="dxa"/>
              <w:left w:w="100" w:type="dxa"/>
              <w:right w:w="100" w:type="dxa"/>
            </w:tcMar>
            <w:vAlign w:val="center"/>
          </w:tcPr>
          <w:p>
            <w:pPr>
              <w:spacing w:before="0" w:after="0"/>
              <w:jc w:val="left"/>
            </w:pPr>
            <w:r>
              <w:rPr>
                <w:rFonts w:ascii="Arial" w:hAnsi="Arial"/>
                <w:b/>
                <w:color w:val="FFFFFF"/>
                <w:sz w:val="18"/>
              </w:rPr>
              <w:t>Winning Project</w:t>
            </w:r>
          </w:p>
        </w:tc>
        <w:tc>
          <w:tcPr>
            <w:tcW w:type="dxa" w:w="2016"/>
            <w:shd w:fill="0F62FE"/>
            <w:tcMar>
              <w:top w:w="120" w:type="dxa"/>
              <w:bottom w:w="120" w:type="dxa"/>
              <w:left w:w="100" w:type="dxa"/>
              <w:right w:w="100" w:type="dxa"/>
            </w:tcMar>
            <w:vAlign w:val="center"/>
          </w:tcPr>
          <w:p>
            <w:pPr>
              <w:spacing w:before="0" w:after="0"/>
              <w:jc w:val="left"/>
            </w:pPr>
            <w:r>
              <w:rPr>
                <w:rFonts w:ascii="Arial" w:hAnsi="Arial"/>
                <w:b/>
                <w:color w:val="FFFFFF"/>
                <w:sz w:val="18"/>
              </w:rPr>
              <w:t>Domain Field</w:t>
            </w:r>
          </w:p>
        </w:tc>
        <w:tc>
          <w:tcPr>
            <w:tcW w:type="dxa" w:w="3168"/>
            <w:shd w:fill="0F62FE"/>
            <w:tcMar>
              <w:top w:w="120" w:type="dxa"/>
              <w:bottom w:w="120" w:type="dxa"/>
              <w:left w:w="100" w:type="dxa"/>
              <w:right w:w="100" w:type="dxa"/>
            </w:tcMar>
            <w:vAlign w:val="center"/>
          </w:tcPr>
          <w:p>
            <w:pPr>
              <w:spacing w:before="0" w:after="0"/>
              <w:jc w:val="left"/>
            </w:pPr>
            <w:r>
              <w:rPr>
                <w:rFonts w:ascii="Arial" w:hAnsi="Arial"/>
                <w:b/>
                <w:color w:val="FFFFFF"/>
                <w:sz w:val="18"/>
              </w:rPr>
              <w:t>Core Technical Innovation</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IBM Bob Hackathon 1.0</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Pedigree (CtrlCats)</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DevTools / Code Security</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Cryptographic provenance &amp; tamper-proof audit trails for AI code.</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2</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AI Genesis Hackathon</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Emergency Triage</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Healthcare / Clinical Intake</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Autonomous ER triage scoring and dynamic priority queueing.</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3</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AssemblyAI Voice Hackathon</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OpsVoice AI</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DevOps / Cloud SRE</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Voice incident commander for Kubernetes crashes &amp; pod self-healing.</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4</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AMD AI Academy Challenge</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Blue River SAFR</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AI Governance &amp; Safety</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Runtime risk, permission, and budget gates for autonomous agents.</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5</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Alpaca AI Trading Agents</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Hal-Street</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FinTech / Options Trading</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Autonomous options desk with 18 deterministic validation gates.</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6</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Lokahi Healthcare Accelerator</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MindSight</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Healthcare / Mental Health</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Therapy gap tracking and real-time biometric emotion analytics.</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7</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Falcon Hackathon</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RAGGENIE</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DevTools / Knowledge RAG</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Low-code visual builder for enterprise RAG and vector knowledge bases.</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8</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AI Meets Robotics</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Ladybug Robot Reader</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Robotics / Accessibility</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Vision-guided robotic arm turning book pages and reading aloud.</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9</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Aria &amp; Allegro Multimodal</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Avjo</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Marketing / Video Tech</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Automated video production pipeline reducing content costs by 90%.</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10</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Complete AI Hackathon</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OnboardEase</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HR Tech / B2B Ops</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Multi-agent autonomous employee onboarding and IT provisioning.</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11</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OpenAI Global Hackathon</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Kiwi Video</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EdTech / Video AI</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Interactive video lecture tutor enabling semantic queries into video streams.</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12</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ChatGPT &amp; Whisper API</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ChattyRental</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Hospitality / Customer Care</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Autonomous voice receptionist handling property check-ins &amp; queries.</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13</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Agentic Commerce on Arc</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NewsFacts &amp; RSoft</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FinTech / Agent Banking</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Autonomous personal finance agent executing verified micro-transactions.</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14</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Deriv AI Talent Sprint</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Security - AI WAF</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Cybersecurity</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Real-time AI Web Application Firewall blocking zero-day injections.</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15</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AI Trading Agents Track 2</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RAMON &amp; DeepSees</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FinTech / Quant Systems</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Multi-agent option trading with strict mathematically capped risk.</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16</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Voice-to-Evidence Sprint</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VerbaTrace AI</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Legal &amp; Compliance</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Enterprise voice agent converting spoken meetings into legal audit logs.</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17</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Cohere AI Hackathon</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Ask Quran</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Semantic Search / EdTech</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Contextual semantic search engine and QA over complex historic texts.</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18</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Redis Sidequest Hackathon</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Memoiz</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AI Infrastructure</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Sub-millisecond semantic caching &amp; conversational memory layer.</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19</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AI21 Labs Hackathon #2</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DocuSense Legal</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LegalTech</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Autonomous contract review, liability scoring, and redline generator.</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20</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Build Your AI Startup #2</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TalentPilot</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HR Tech / Recruiting</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Agentic technical screener conducting structured audio interviews.</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21</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AssemblyAI EdTech Track</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Readdy AI</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EdTech / Career Prep</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AI technical interviewer conducting live coding interview prep.</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22</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Stable Diffusion Hackathon</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ArtisanAI</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Design / Manufacturing</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Text-to-production 3D CAD modeling and prototype manufacturing.</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23</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AI Genesis Multimodal Track</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MyFormSnapper</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GovTech / Document AI</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Multimodal OCR agent processing complex handwritten public forms.</w:t>
            </w:r>
          </w:p>
        </w:tc>
      </w:tr>
      <w:tr>
        <w:tc>
          <w:tcPr>
            <w:tcW w:type="dxa" w:w="57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24</w:t>
            </w:r>
          </w:p>
        </w:tc>
        <w:tc>
          <w:tcPr>
            <w:tcW w:type="dxa" w:w="2160"/>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RAISE your HACK 2025</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Easy Connect (Kairos)</w:t>
            </w:r>
          </w:p>
        </w:tc>
        <w:tc>
          <w:tcPr>
            <w:tcW w:type="dxa" w:w="2016"/>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Decentralized AI / Web3</w:t>
            </w:r>
          </w:p>
        </w:tc>
        <w:tc>
          <w:tcPr>
            <w:tcW w:type="dxa" w:w="3168"/>
            <w:shd w:fill="F4F7FB"/>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Decentralized agent-to-agent communication and payment protocol.</w:t>
            </w:r>
          </w:p>
        </w:tc>
      </w:tr>
      <w:tr>
        <w:tc>
          <w:tcPr>
            <w:tcW w:type="dxa" w:w="57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25</w:t>
            </w:r>
          </w:p>
        </w:tc>
        <w:tc>
          <w:tcPr>
            <w:tcW w:type="dxa" w:w="2160"/>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Global Voice AI Sprint</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7"/>
              </w:rPr>
              <w:t>Tourist Translator AI</w:t>
            </w:r>
          </w:p>
        </w:tc>
        <w:tc>
          <w:tcPr>
            <w:tcW w:type="dxa" w:w="2016"/>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7"/>
              </w:rPr>
              <w:t>Consumer / Travel</w:t>
            </w:r>
          </w:p>
        </w:tc>
        <w:tc>
          <w:tcPr>
            <w:tcW w:type="dxa" w:w="3168"/>
            <w:tcMar>
              <w:top w:w="80" w:type="dxa"/>
              <w:bottom w:w="80" w:type="dxa"/>
              <w:left w:w="100" w:type="dxa"/>
              <w:right w:w="100" w:type="dxa"/>
            </w:tcMar>
            <w:vAlign w:val="center"/>
            <w:tcBorders>
              <w:bottom w:val="single" w:sz="4" w:space="0" w:color="E2E8F0"/>
            </w:tcBorders>
          </w:tcPr>
          <w:p>
            <w:pPr>
              <w:spacing w:before="0" w:after="0" w:line="252" w:lineRule="auto"/>
            </w:pPr>
            <w:r>
              <w:rPr>
                <w:rFonts w:ascii="Arial" w:hAnsi="Arial"/>
                <w:color w:val="212529"/>
                <w:sz w:val="17"/>
              </w:rPr>
              <w:t>Lightweight browser-based bidirectional spoken language translator.</w:t>
            </w:r>
          </w:p>
        </w:tc>
      </w:tr>
    </w:tbl>
    <w:p>
      <w:pPr>
        <w:pStyle w:val="Heading1"/>
        <w:spacing w:before="360" w:after="120"/>
      </w:pPr>
      <w:r>
        <w:rPr>
          <w:rFonts w:ascii="Arial" w:hAnsi="Arial"/>
          <w:b/>
          <w:color w:val="002D9C"/>
          <w:sz w:val="32"/>
        </w:rPr>
        <w:t>4. Quantitative Win Distribution: In Which Fields Do People Win Most?</w:t>
      </w:r>
    </w:p>
    <w:p>
      <w:pPr>
        <w:spacing w:after="160" w:line="276" w:lineRule="auto"/>
      </w:pPr>
      <w:r>
        <w:t>Grouping the winning entries across past competitions exposes a strong concentration in high-value, measurable sectors. The statistical breakdown of championship placements by domain field is detailed below: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600"/>
            <w:shd w:fill="002D9C"/>
            <w:tcMar>
              <w:top w:w="120" w:type="dxa"/>
              <w:bottom w:w="120" w:type="dxa"/>
              <w:left w:w="100" w:type="dxa"/>
              <w:right w:w="100" w:type="dxa"/>
            </w:tcMar>
            <w:vAlign w:val="center"/>
          </w:tcPr>
          <w:p>
            <w:pPr>
              <w:spacing w:before="0" w:after="0"/>
            </w:pPr>
            <w:r>
              <w:rPr>
                <w:rFonts w:ascii="Arial" w:hAnsi="Arial"/>
                <w:b/>
                <w:color w:val="FFFFFF"/>
                <w:sz w:val="18"/>
              </w:rPr>
              <w:t>Category / Domain</w:t>
            </w:r>
          </w:p>
        </w:tc>
        <w:tc>
          <w:tcPr>
            <w:tcW w:type="dxa" w:w="1584"/>
            <w:shd w:fill="002D9C"/>
            <w:tcMar>
              <w:top w:w="120" w:type="dxa"/>
              <w:bottom w:w="120" w:type="dxa"/>
              <w:left w:w="100" w:type="dxa"/>
              <w:right w:w="100" w:type="dxa"/>
            </w:tcMar>
            <w:vAlign w:val="center"/>
          </w:tcPr>
          <w:p>
            <w:pPr>
              <w:spacing w:before="0" w:after="0"/>
            </w:pPr>
            <w:r>
              <w:rPr>
                <w:rFonts w:ascii="Arial" w:hAnsi="Arial"/>
                <w:b/>
                <w:color w:val="FFFFFF"/>
                <w:sz w:val="18"/>
              </w:rPr>
              <w:t>Win Share (%)</w:t>
            </w:r>
          </w:p>
        </w:tc>
        <w:tc>
          <w:tcPr>
            <w:tcW w:type="dxa" w:w="1584"/>
            <w:shd w:fill="002D9C"/>
            <w:tcMar>
              <w:top w:w="120" w:type="dxa"/>
              <w:bottom w:w="120" w:type="dxa"/>
              <w:left w:w="100" w:type="dxa"/>
              <w:right w:w="100" w:type="dxa"/>
            </w:tcMar>
            <w:vAlign w:val="center"/>
          </w:tcPr>
          <w:p>
            <w:pPr>
              <w:spacing w:before="0" w:after="0"/>
            </w:pPr>
            <w:r>
              <w:rPr>
                <w:rFonts w:ascii="Arial" w:hAnsi="Arial"/>
                <w:b/>
                <w:color w:val="FFFFFF"/>
                <w:sz w:val="18"/>
              </w:rPr>
              <w:t>Typical Placements</w:t>
            </w:r>
          </w:p>
        </w:tc>
        <w:tc>
          <w:tcPr>
            <w:tcW w:type="dxa" w:w="3168"/>
            <w:shd w:fill="002D9C"/>
            <w:tcMar>
              <w:top w:w="120" w:type="dxa"/>
              <w:bottom w:w="120" w:type="dxa"/>
              <w:left w:w="100" w:type="dxa"/>
              <w:right w:w="100" w:type="dxa"/>
            </w:tcMar>
            <w:vAlign w:val="center"/>
          </w:tcPr>
          <w:p>
            <w:pPr>
              <w:spacing w:before="0" w:after="0"/>
            </w:pPr>
            <w:r>
              <w:rPr>
                <w:rFonts w:ascii="Arial" w:hAnsi="Arial"/>
                <w:b/>
                <w:color w:val="FFFFFF"/>
                <w:sz w:val="18"/>
              </w:rPr>
              <w:t>Primary Drivers of Judge Selection</w:t>
            </w:r>
          </w:p>
        </w:tc>
      </w:tr>
      <w:tr>
        <w:tc>
          <w:tcPr>
            <w:tcW w:type="dxa" w:w="3600"/>
            <w:tcMar>
              <w:top w:w="80" w:type="dxa"/>
              <w:bottom w:w="80" w:type="dxa"/>
              <w:left w:w="100" w:type="dxa"/>
              <w:right w:w="100" w:type="dxa"/>
            </w:tcMar>
            <w:vAlign w:val="center"/>
          </w:tcPr>
          <w:p>
            <w:pPr>
              <w:spacing w:before="0" w:after="0" w:line="252" w:lineRule="auto"/>
            </w:pPr>
            <w:r>
              <w:rPr>
                <w:rFonts w:ascii="Arial" w:hAnsi="Arial"/>
                <w:b/>
                <w:color w:val="212529"/>
                <w:sz w:val="17"/>
              </w:rPr>
              <w:t>1. Enterprise B2B &amp; Workflow Automation</w:t>
            </w:r>
          </w:p>
        </w:tc>
        <w:tc>
          <w:tcPr>
            <w:tcW w:type="dxa" w:w="1584"/>
            <w:tcMar>
              <w:top w:w="80" w:type="dxa"/>
              <w:bottom w:w="80" w:type="dxa"/>
              <w:left w:w="100" w:type="dxa"/>
              <w:right w:w="100" w:type="dxa"/>
            </w:tcMar>
            <w:vAlign w:val="center"/>
          </w:tcPr>
          <w:p>
            <w:pPr>
              <w:spacing w:before="0" w:after="0" w:line="252" w:lineRule="auto"/>
            </w:pPr>
            <w:r>
              <w:rPr>
                <w:rFonts w:ascii="Arial" w:hAnsi="Arial"/>
                <w:b/>
                <w:color w:val="0F62FE"/>
                <w:sz w:val="17"/>
              </w:rPr>
              <w:t>28%</w:t>
            </w:r>
          </w:p>
        </w:tc>
        <w:tc>
          <w:tcPr>
            <w:tcW w:type="dxa" w:w="1584"/>
            <w:tcMar>
              <w:top w:w="80" w:type="dxa"/>
              <w:bottom w:w="80" w:type="dxa"/>
              <w:left w:w="100" w:type="dxa"/>
              <w:right w:w="100" w:type="dxa"/>
            </w:tcMar>
            <w:vAlign w:val="center"/>
          </w:tcPr>
          <w:p>
            <w:pPr>
              <w:spacing w:before="0" w:after="0" w:line="252" w:lineRule="auto"/>
            </w:pPr>
            <w:r>
              <w:rPr>
                <w:rFonts w:ascii="Arial" w:hAnsi="Arial"/>
                <w:color w:val="212529"/>
                <w:sz w:val="17"/>
              </w:rPr>
              <w:t>1st Place (x7)</w:t>
            </w:r>
          </w:p>
        </w:tc>
        <w:tc>
          <w:tcPr>
            <w:tcW w:type="dxa" w:w="3168"/>
            <w:tcMar>
              <w:top w:w="80" w:type="dxa"/>
              <w:bottom w:w="80" w:type="dxa"/>
              <w:left w:w="100" w:type="dxa"/>
              <w:right w:w="100" w:type="dxa"/>
            </w:tcMar>
            <w:vAlign w:val="center"/>
          </w:tcPr>
          <w:p>
            <w:pPr>
              <w:spacing w:before="0" w:after="0" w:line="252" w:lineRule="auto"/>
            </w:pPr>
            <w:r>
              <w:rPr>
                <w:rFonts w:ascii="Arial" w:hAnsi="Arial"/>
                <w:color w:val="212529"/>
                <w:sz w:val="17"/>
              </w:rPr>
              <w:t>Clear ROI, labor cost reduction, direct commercial enterprise viability.</w:t>
            </w:r>
          </w:p>
        </w:tc>
      </w:tr>
      <w:tr>
        <w:tc>
          <w:tcPr>
            <w:tcW w:type="dxa" w:w="3600"/>
            <w:shd w:fill="F4F7FB"/>
            <w:tcMar>
              <w:top w:w="80" w:type="dxa"/>
              <w:bottom w:w="80" w:type="dxa"/>
              <w:left w:w="100" w:type="dxa"/>
              <w:right w:w="100" w:type="dxa"/>
            </w:tcMar>
            <w:vAlign w:val="center"/>
          </w:tcPr>
          <w:p>
            <w:pPr>
              <w:spacing w:before="0" w:after="0" w:line="252" w:lineRule="auto"/>
            </w:pPr>
            <w:r>
              <w:rPr>
                <w:rFonts w:ascii="Arial" w:hAnsi="Arial"/>
                <w:b/>
                <w:color w:val="212529"/>
                <w:sz w:val="17"/>
              </w:rPr>
              <w:t>2. Healthcare, Medicine &amp; Clinical Ops</w:t>
            </w:r>
          </w:p>
        </w:tc>
        <w:tc>
          <w:tcPr>
            <w:tcW w:type="dxa" w:w="1584"/>
            <w:shd w:fill="F4F7FB"/>
            <w:tcMar>
              <w:top w:w="80" w:type="dxa"/>
              <w:bottom w:w="80" w:type="dxa"/>
              <w:left w:w="100" w:type="dxa"/>
              <w:right w:w="100" w:type="dxa"/>
            </w:tcMar>
            <w:vAlign w:val="center"/>
          </w:tcPr>
          <w:p>
            <w:pPr>
              <w:spacing w:before="0" w:after="0" w:line="252" w:lineRule="auto"/>
            </w:pPr>
            <w:r>
              <w:rPr>
                <w:rFonts w:ascii="Arial" w:hAnsi="Arial"/>
                <w:b/>
                <w:color w:val="0F62FE"/>
                <w:sz w:val="17"/>
              </w:rPr>
              <w:t>18%</w:t>
            </w:r>
          </w:p>
        </w:tc>
        <w:tc>
          <w:tcPr>
            <w:tcW w:type="dxa" w:w="1584"/>
            <w:shd w:fill="F4F7FB"/>
            <w:tcMar>
              <w:top w:w="80" w:type="dxa"/>
              <w:bottom w:w="80" w:type="dxa"/>
              <w:left w:w="100" w:type="dxa"/>
              <w:right w:w="100" w:type="dxa"/>
            </w:tcMar>
            <w:vAlign w:val="center"/>
          </w:tcPr>
          <w:p>
            <w:pPr>
              <w:spacing w:before="0" w:after="0" w:line="252" w:lineRule="auto"/>
            </w:pPr>
            <w:r>
              <w:rPr>
                <w:rFonts w:ascii="Arial" w:hAnsi="Arial"/>
                <w:color w:val="212529"/>
                <w:sz w:val="17"/>
              </w:rPr>
              <w:t>1st Place (x4)</w:t>
            </w:r>
          </w:p>
        </w:tc>
        <w:tc>
          <w:tcPr>
            <w:tcW w:type="dxa" w:w="3168"/>
            <w:shd w:fill="F4F7FB"/>
            <w:tcMar>
              <w:top w:w="80" w:type="dxa"/>
              <w:bottom w:w="80" w:type="dxa"/>
              <w:left w:w="100" w:type="dxa"/>
              <w:right w:w="100" w:type="dxa"/>
            </w:tcMar>
            <w:vAlign w:val="center"/>
          </w:tcPr>
          <w:p>
            <w:pPr>
              <w:spacing w:before="0" w:after="0" w:line="252" w:lineRule="auto"/>
            </w:pPr>
            <w:r>
              <w:rPr>
                <w:rFonts w:ascii="Arial" w:hAnsi="Arial"/>
                <w:color w:val="212529"/>
                <w:sz w:val="17"/>
              </w:rPr>
              <w:t>Immense social urgency, clinical burnout mitigation, complex data workflows.</w:t>
            </w:r>
          </w:p>
        </w:tc>
      </w:tr>
      <w:tr>
        <w:tc>
          <w:tcPr>
            <w:tcW w:type="dxa" w:w="3600"/>
            <w:tcMar>
              <w:top w:w="80" w:type="dxa"/>
              <w:bottom w:w="80" w:type="dxa"/>
              <w:left w:w="100" w:type="dxa"/>
              <w:right w:w="100" w:type="dxa"/>
            </w:tcMar>
            <w:vAlign w:val="center"/>
          </w:tcPr>
          <w:p>
            <w:pPr>
              <w:spacing w:before="0" w:after="0" w:line="252" w:lineRule="auto"/>
            </w:pPr>
            <w:r>
              <w:rPr>
                <w:rFonts w:ascii="Arial" w:hAnsi="Arial"/>
                <w:b/>
                <w:color w:val="212529"/>
                <w:sz w:val="17"/>
              </w:rPr>
              <w:t>3. Developer Tools &amp; AI Governance</w:t>
            </w:r>
          </w:p>
        </w:tc>
        <w:tc>
          <w:tcPr>
            <w:tcW w:type="dxa" w:w="1584"/>
            <w:tcMar>
              <w:top w:w="80" w:type="dxa"/>
              <w:bottom w:w="80" w:type="dxa"/>
              <w:left w:w="100" w:type="dxa"/>
              <w:right w:w="100" w:type="dxa"/>
            </w:tcMar>
            <w:vAlign w:val="center"/>
          </w:tcPr>
          <w:p>
            <w:pPr>
              <w:spacing w:before="0" w:after="0" w:line="252" w:lineRule="auto"/>
            </w:pPr>
            <w:r>
              <w:rPr>
                <w:rFonts w:ascii="Arial" w:hAnsi="Arial"/>
                <w:b/>
                <w:color w:val="0F62FE"/>
                <w:sz w:val="17"/>
              </w:rPr>
              <w:t>16%</w:t>
            </w:r>
          </w:p>
        </w:tc>
        <w:tc>
          <w:tcPr>
            <w:tcW w:type="dxa" w:w="1584"/>
            <w:tcMar>
              <w:top w:w="80" w:type="dxa"/>
              <w:bottom w:w="80" w:type="dxa"/>
              <w:left w:w="100" w:type="dxa"/>
              <w:right w:w="100" w:type="dxa"/>
            </w:tcMar>
            <w:vAlign w:val="center"/>
          </w:tcPr>
          <w:p>
            <w:pPr>
              <w:spacing w:before="0" w:after="0" w:line="252" w:lineRule="auto"/>
            </w:pPr>
            <w:r>
              <w:rPr>
                <w:rFonts w:ascii="Arial" w:hAnsi="Arial"/>
                <w:color w:val="212529"/>
                <w:sz w:val="17"/>
              </w:rPr>
              <w:t>1st Place (x4)</w:t>
            </w:r>
          </w:p>
        </w:tc>
        <w:tc>
          <w:tcPr>
            <w:tcW w:type="dxa" w:w="3168"/>
            <w:tcMar>
              <w:top w:w="80" w:type="dxa"/>
              <w:bottom w:w="80" w:type="dxa"/>
              <w:left w:w="100" w:type="dxa"/>
              <w:right w:w="100" w:type="dxa"/>
            </w:tcMar>
            <w:vAlign w:val="center"/>
          </w:tcPr>
          <w:p>
            <w:pPr>
              <w:spacing w:before="0" w:after="0" w:line="252" w:lineRule="auto"/>
            </w:pPr>
            <w:r>
              <w:rPr>
                <w:rFonts w:ascii="Arial" w:hAnsi="Arial"/>
                <w:color w:val="212529"/>
                <w:sz w:val="17"/>
              </w:rPr>
              <w:t>Sponsor appeal (IBM/AMD/OpenAI), code provenance, runtime security.</w:t>
            </w:r>
          </w:p>
        </w:tc>
      </w:tr>
      <w:tr>
        <w:tc>
          <w:tcPr>
            <w:tcW w:type="dxa" w:w="3600"/>
            <w:shd w:fill="F4F7FB"/>
            <w:tcMar>
              <w:top w:w="80" w:type="dxa"/>
              <w:bottom w:w="80" w:type="dxa"/>
              <w:left w:w="100" w:type="dxa"/>
              <w:right w:w="100" w:type="dxa"/>
            </w:tcMar>
            <w:vAlign w:val="center"/>
          </w:tcPr>
          <w:p>
            <w:pPr>
              <w:spacing w:before="0" w:after="0" w:line="252" w:lineRule="auto"/>
            </w:pPr>
            <w:r>
              <w:rPr>
                <w:rFonts w:ascii="Arial" w:hAnsi="Arial"/>
                <w:b/>
                <w:color w:val="212529"/>
                <w:sz w:val="17"/>
              </w:rPr>
              <w:t>4. FinTech &amp; Autonomous Trading Agents</w:t>
            </w:r>
          </w:p>
        </w:tc>
        <w:tc>
          <w:tcPr>
            <w:tcW w:type="dxa" w:w="1584"/>
            <w:shd w:fill="F4F7FB"/>
            <w:tcMar>
              <w:top w:w="80" w:type="dxa"/>
              <w:bottom w:w="80" w:type="dxa"/>
              <w:left w:w="100" w:type="dxa"/>
              <w:right w:w="100" w:type="dxa"/>
            </w:tcMar>
            <w:vAlign w:val="center"/>
          </w:tcPr>
          <w:p>
            <w:pPr>
              <w:spacing w:before="0" w:after="0" w:line="252" w:lineRule="auto"/>
            </w:pPr>
            <w:r>
              <w:rPr>
                <w:rFonts w:ascii="Arial" w:hAnsi="Arial"/>
                <w:b/>
                <w:color w:val="0F62FE"/>
                <w:sz w:val="17"/>
              </w:rPr>
              <w:t>14%</w:t>
            </w:r>
          </w:p>
        </w:tc>
        <w:tc>
          <w:tcPr>
            <w:tcW w:type="dxa" w:w="1584"/>
            <w:shd w:fill="F4F7FB"/>
            <w:tcMar>
              <w:top w:w="80" w:type="dxa"/>
              <w:bottom w:w="80" w:type="dxa"/>
              <w:left w:w="100" w:type="dxa"/>
              <w:right w:w="100" w:type="dxa"/>
            </w:tcMar>
            <w:vAlign w:val="center"/>
          </w:tcPr>
          <w:p>
            <w:pPr>
              <w:spacing w:before="0" w:after="0" w:line="252" w:lineRule="auto"/>
            </w:pPr>
            <w:r>
              <w:rPr>
                <w:rFonts w:ascii="Arial" w:hAnsi="Arial"/>
                <w:color w:val="212529"/>
                <w:sz w:val="17"/>
              </w:rPr>
              <w:t>1st Place (x3)</w:t>
            </w:r>
          </w:p>
        </w:tc>
        <w:tc>
          <w:tcPr>
            <w:tcW w:type="dxa" w:w="3168"/>
            <w:shd w:fill="F4F7FB"/>
            <w:tcMar>
              <w:top w:w="80" w:type="dxa"/>
              <w:bottom w:w="80" w:type="dxa"/>
              <w:left w:w="100" w:type="dxa"/>
              <w:right w:w="100" w:type="dxa"/>
            </w:tcMar>
            <w:vAlign w:val="center"/>
          </w:tcPr>
          <w:p>
            <w:pPr>
              <w:spacing w:before="0" w:after="0" w:line="252" w:lineRule="auto"/>
            </w:pPr>
            <w:r>
              <w:rPr>
                <w:rFonts w:ascii="Arial" w:hAnsi="Arial"/>
                <w:color w:val="212529"/>
                <w:sz w:val="17"/>
              </w:rPr>
              <w:t>Quantifiable benchmarks, automated risk hedging, deterministic math bounds.</w:t>
            </w:r>
          </w:p>
        </w:tc>
      </w:tr>
      <w:tr>
        <w:tc>
          <w:tcPr>
            <w:tcW w:type="dxa" w:w="3600"/>
            <w:tcMar>
              <w:top w:w="80" w:type="dxa"/>
              <w:bottom w:w="80" w:type="dxa"/>
              <w:left w:w="100" w:type="dxa"/>
              <w:right w:w="100" w:type="dxa"/>
            </w:tcMar>
            <w:vAlign w:val="center"/>
          </w:tcPr>
          <w:p>
            <w:pPr>
              <w:spacing w:before="0" w:after="0" w:line="252" w:lineRule="auto"/>
            </w:pPr>
            <w:r>
              <w:rPr>
                <w:rFonts w:ascii="Arial" w:hAnsi="Arial"/>
                <w:b/>
                <w:color w:val="212529"/>
                <w:sz w:val="17"/>
              </w:rPr>
              <w:t>5. Accessibility, EdTech &amp; Career Prep</w:t>
            </w:r>
          </w:p>
        </w:tc>
        <w:tc>
          <w:tcPr>
            <w:tcW w:type="dxa" w:w="1584"/>
            <w:tcMar>
              <w:top w:w="80" w:type="dxa"/>
              <w:bottom w:w="80" w:type="dxa"/>
              <w:left w:w="100" w:type="dxa"/>
              <w:right w:w="100" w:type="dxa"/>
            </w:tcMar>
            <w:vAlign w:val="center"/>
          </w:tcPr>
          <w:p>
            <w:pPr>
              <w:spacing w:before="0" w:after="0" w:line="252" w:lineRule="auto"/>
            </w:pPr>
            <w:r>
              <w:rPr>
                <w:rFonts w:ascii="Arial" w:hAnsi="Arial"/>
                <w:b/>
                <w:color w:val="0F62FE"/>
                <w:sz w:val="17"/>
              </w:rPr>
              <w:t>12%</w:t>
            </w:r>
          </w:p>
        </w:tc>
        <w:tc>
          <w:tcPr>
            <w:tcW w:type="dxa" w:w="1584"/>
            <w:tcMar>
              <w:top w:w="80" w:type="dxa"/>
              <w:bottom w:w="80" w:type="dxa"/>
              <w:left w:w="100" w:type="dxa"/>
              <w:right w:w="100" w:type="dxa"/>
            </w:tcMar>
            <w:vAlign w:val="center"/>
          </w:tcPr>
          <w:p>
            <w:pPr>
              <w:spacing w:before="0" w:after="0" w:line="252" w:lineRule="auto"/>
            </w:pPr>
            <w:r>
              <w:rPr>
                <w:rFonts w:ascii="Arial" w:hAnsi="Arial"/>
                <w:color w:val="212529"/>
                <w:sz w:val="17"/>
              </w:rPr>
              <w:t>1st Place (x3)</w:t>
            </w:r>
          </w:p>
        </w:tc>
        <w:tc>
          <w:tcPr>
            <w:tcW w:type="dxa" w:w="3168"/>
            <w:tcMar>
              <w:top w:w="80" w:type="dxa"/>
              <w:bottom w:w="80" w:type="dxa"/>
              <w:left w:w="100" w:type="dxa"/>
              <w:right w:w="100" w:type="dxa"/>
            </w:tcMar>
            <w:vAlign w:val="center"/>
          </w:tcPr>
          <w:p>
            <w:pPr>
              <w:spacing w:before="0" w:after="0" w:line="252" w:lineRule="auto"/>
            </w:pPr>
            <w:r>
              <w:rPr>
                <w:rFonts w:ascii="Arial" w:hAnsi="Arial"/>
                <w:color w:val="212529"/>
                <w:sz w:val="17"/>
              </w:rPr>
              <w:t>High human empathy, multimodal audio/vision integration, interactive UX.</w:t>
            </w:r>
          </w:p>
        </w:tc>
      </w:tr>
      <w:tr>
        <w:tc>
          <w:tcPr>
            <w:tcW w:type="dxa" w:w="3600"/>
            <w:shd w:fill="F4F7FB"/>
            <w:tcMar>
              <w:top w:w="80" w:type="dxa"/>
              <w:bottom w:w="80" w:type="dxa"/>
              <w:left w:w="100" w:type="dxa"/>
              <w:right w:w="100" w:type="dxa"/>
            </w:tcMar>
            <w:vAlign w:val="center"/>
          </w:tcPr>
          <w:p>
            <w:pPr>
              <w:spacing w:before="0" w:after="0" w:line="252" w:lineRule="auto"/>
            </w:pPr>
            <w:r>
              <w:rPr>
                <w:rFonts w:ascii="Arial" w:hAnsi="Arial"/>
                <w:b/>
                <w:color w:val="212529"/>
                <w:sz w:val="17"/>
              </w:rPr>
              <w:t>6. Creative Tech &amp; Media Automation</w:t>
            </w:r>
          </w:p>
        </w:tc>
        <w:tc>
          <w:tcPr>
            <w:tcW w:type="dxa" w:w="1584"/>
            <w:shd w:fill="F4F7FB"/>
            <w:tcMar>
              <w:top w:w="80" w:type="dxa"/>
              <w:bottom w:w="80" w:type="dxa"/>
              <w:left w:w="100" w:type="dxa"/>
              <w:right w:w="100" w:type="dxa"/>
            </w:tcMar>
            <w:vAlign w:val="center"/>
          </w:tcPr>
          <w:p>
            <w:pPr>
              <w:spacing w:before="0" w:after="0" w:line="252" w:lineRule="auto"/>
            </w:pPr>
            <w:r>
              <w:rPr>
                <w:rFonts w:ascii="Arial" w:hAnsi="Arial"/>
                <w:b/>
                <w:color w:val="0F62FE"/>
                <w:sz w:val="17"/>
              </w:rPr>
              <w:t>8%</w:t>
            </w:r>
          </w:p>
        </w:tc>
        <w:tc>
          <w:tcPr>
            <w:tcW w:type="dxa" w:w="1584"/>
            <w:shd w:fill="F4F7FB"/>
            <w:tcMar>
              <w:top w:w="80" w:type="dxa"/>
              <w:bottom w:w="80" w:type="dxa"/>
              <w:left w:w="100" w:type="dxa"/>
              <w:right w:w="100" w:type="dxa"/>
            </w:tcMar>
            <w:vAlign w:val="center"/>
          </w:tcPr>
          <w:p>
            <w:pPr>
              <w:spacing w:before="0" w:after="0" w:line="252" w:lineRule="auto"/>
            </w:pPr>
            <w:r>
              <w:rPr>
                <w:rFonts w:ascii="Arial" w:hAnsi="Arial"/>
                <w:color w:val="212529"/>
                <w:sz w:val="17"/>
              </w:rPr>
              <w:t>1st Place (x2)</w:t>
            </w:r>
          </w:p>
        </w:tc>
        <w:tc>
          <w:tcPr>
            <w:tcW w:type="dxa" w:w="3168"/>
            <w:shd w:fill="F4F7FB"/>
            <w:tcMar>
              <w:top w:w="80" w:type="dxa"/>
              <w:bottom w:w="80" w:type="dxa"/>
              <w:left w:w="100" w:type="dxa"/>
              <w:right w:w="100" w:type="dxa"/>
            </w:tcMar>
            <w:vAlign w:val="center"/>
          </w:tcPr>
          <w:p>
            <w:pPr>
              <w:spacing w:before="0" w:after="0" w:line="252" w:lineRule="auto"/>
            </w:pPr>
            <w:r>
              <w:rPr>
                <w:rFonts w:ascii="Arial" w:hAnsi="Arial"/>
                <w:color w:val="212529"/>
                <w:sz w:val="17"/>
              </w:rPr>
              <w:t>Instant visual 'wow factor', cost deflation in media production pipelines.</w:t>
            </w:r>
          </w:p>
        </w:tc>
      </w:tr>
      <w:tr>
        <w:tc>
          <w:tcPr>
            <w:tcW w:type="dxa" w:w="3600"/>
            <w:tcMar>
              <w:top w:w="80" w:type="dxa"/>
              <w:bottom w:w="80" w:type="dxa"/>
              <w:left w:w="100" w:type="dxa"/>
              <w:right w:w="100" w:type="dxa"/>
            </w:tcMar>
            <w:vAlign w:val="center"/>
          </w:tcPr>
          <w:p>
            <w:pPr>
              <w:spacing w:before="0" w:after="0" w:line="252" w:lineRule="auto"/>
            </w:pPr>
            <w:r>
              <w:rPr>
                <w:rFonts w:ascii="Arial" w:hAnsi="Arial"/>
                <w:b/>
                <w:color w:val="212529"/>
                <w:sz w:val="17"/>
              </w:rPr>
              <w:t>7. Robotics, Web3 &amp; Physical AI</w:t>
            </w:r>
          </w:p>
        </w:tc>
        <w:tc>
          <w:tcPr>
            <w:tcW w:type="dxa" w:w="1584"/>
            <w:tcMar>
              <w:top w:w="80" w:type="dxa"/>
              <w:bottom w:w="80" w:type="dxa"/>
              <w:left w:w="100" w:type="dxa"/>
              <w:right w:w="100" w:type="dxa"/>
            </w:tcMar>
            <w:vAlign w:val="center"/>
          </w:tcPr>
          <w:p>
            <w:pPr>
              <w:spacing w:before="0" w:after="0" w:line="252" w:lineRule="auto"/>
            </w:pPr>
            <w:r>
              <w:rPr>
                <w:rFonts w:ascii="Arial" w:hAnsi="Arial"/>
                <w:b/>
                <w:color w:val="0F62FE"/>
                <w:sz w:val="17"/>
              </w:rPr>
              <w:t>4%</w:t>
            </w:r>
          </w:p>
        </w:tc>
        <w:tc>
          <w:tcPr>
            <w:tcW w:type="dxa" w:w="1584"/>
            <w:tcMar>
              <w:top w:w="80" w:type="dxa"/>
              <w:bottom w:w="80" w:type="dxa"/>
              <w:left w:w="100" w:type="dxa"/>
              <w:right w:w="100" w:type="dxa"/>
            </w:tcMar>
            <w:vAlign w:val="center"/>
          </w:tcPr>
          <w:p>
            <w:pPr>
              <w:spacing w:before="0" w:after="0" w:line="252" w:lineRule="auto"/>
            </w:pPr>
            <w:r>
              <w:rPr>
                <w:rFonts w:ascii="Arial" w:hAnsi="Arial"/>
                <w:color w:val="212529"/>
                <w:sz w:val="17"/>
              </w:rPr>
              <w:t>1st Place (x1)</w:t>
            </w:r>
          </w:p>
        </w:tc>
        <w:tc>
          <w:tcPr>
            <w:tcW w:type="dxa" w:w="3168"/>
            <w:tcMar>
              <w:top w:w="80" w:type="dxa"/>
              <w:bottom w:w="80" w:type="dxa"/>
              <w:left w:w="100" w:type="dxa"/>
              <w:right w:w="100" w:type="dxa"/>
            </w:tcMar>
            <w:vAlign w:val="center"/>
          </w:tcPr>
          <w:p>
            <w:pPr>
              <w:spacing w:before="0" w:after="0" w:line="252" w:lineRule="auto"/>
            </w:pPr>
            <w:r>
              <w:rPr>
                <w:rFonts w:ascii="Arial" w:hAnsi="Arial"/>
                <w:color w:val="212529"/>
                <w:sz w:val="17"/>
              </w:rPr>
              <w:t>Novelty of physical/hardware actuation and decentralized protocols.</w:t>
            </w:r>
          </w:p>
        </w:tc>
      </w:tr>
    </w:tbl>
    <w:p>
      <w:pPr>
        <w:pStyle w:val="Heading2"/>
        <w:spacing w:before="280" w:after="80"/>
      </w:pPr>
      <w:r>
        <w:rPr>
          <w:b/>
          <w:color w:val="0F62FE"/>
          <w:sz w:val="26"/>
        </w:rPr>
        <w:t>Deep Dive: Why These Domains Outperform Others</w:t>
      </w:r>
    </w:p>
    <w:p>
      <w:pPr>
        <w:pStyle w:val="ListBullet"/>
        <w:spacing w:after="80" w:line="276" w:lineRule="auto"/>
      </w:pPr>
      <w:r>
        <w:rPr>
          <w:b/>
          <w:color w:val="002D9C"/>
        </w:rPr>
        <w:t xml:space="preserve">Enterprise B2B Automation (#1): </w:t>
      </w:r>
      <w:r>
        <w:t>Projects that automate onboarding (OnboardEase), SRE incident remediation (OpsVoice AI), or legal record extraction (VerbaTrace AI) succeed because judges evaluate products from a venture capital and commercial viability perspective. Replacing 10 manual hours with a verified autonomous pipeline creates undeniable economic value.</w:t>
      </w:r>
    </w:p>
    <w:p>
      <w:pPr>
        <w:pStyle w:val="ListBullet"/>
        <w:spacing w:after="80" w:line="276" w:lineRule="auto"/>
      </w:pPr>
      <w:r>
        <w:rPr>
          <w:b/>
          <w:color w:val="002D9C"/>
        </w:rPr>
        <w:t xml:space="preserve">Healthcare &amp; Medical Intelligence (#2): </w:t>
      </w:r>
      <w:r>
        <w:t>Healthcare proposals command intense judge attention because the consequences of error are acute. When a project like Emergency Triage Automation or Veritas Clinical AI demonstrates zero-hallucination guardrails combined with rapid clinical assistance, it ticks both technical sophistication and humanitarian impact.</w:t>
      </w:r>
    </w:p>
    <w:p>
      <w:pPr>
        <w:pStyle w:val="ListBullet"/>
        <w:spacing w:after="80" w:line="276" w:lineRule="auto"/>
      </w:pPr>
      <w:r>
        <w:rPr>
          <w:b/>
          <w:color w:val="002D9C"/>
        </w:rPr>
        <w:t xml:space="preserve">Developer Tools &amp; Code Governance (#3): </w:t>
      </w:r>
      <w:r>
        <w:t>Hackathons are organized and sponsored by technology infrastructure leaders (IBM, AMD, Cohere, OpenAI, Redis). When participants build platforms that solve developer bottlenecks—such as Pedigree's cryptographic code provenance in the IBM Bob hackathon or SAFR's runtime agent governance on AMD—sponsors recognize immediate alignment with their platform's core developer base.</w:t>
      </w:r>
    </w:p>
    <w:p>
      <w:pPr>
        <w:pStyle w:val="Heading1"/>
        <w:spacing w:before="360" w:after="120"/>
      </w:pPr>
      <w:r>
        <w:rPr>
          <w:rFonts w:ascii="Arial" w:hAnsi="Arial"/>
          <w:b/>
          <w:color w:val="002D9C"/>
          <w:sz w:val="32"/>
        </w:rPr>
        <w:t>5. The Winning Architectural Blueprint for Future Competitions</w:t>
      </w:r>
    </w:p>
    <w:p>
      <w:pPr>
        <w:spacing w:after="160" w:line="276" w:lineRule="auto"/>
      </w:pPr>
      <w:r>
        <w:t>Analyzing code repositories across top-ranked projects reveals four recurring architectural pillars. Adhering to this blueprint significantly elevates a team's probability of securing a top podium position in events like IBM Bob 2.0:</w:t>
      </w:r>
    </w:p>
    <w:p>
      <w:pPr>
        <w:pStyle w:val="ListBullet"/>
        <w:spacing w:after="120" w:line="276" w:lineRule="auto"/>
      </w:pPr>
      <w:r>
        <w:rPr>
          <w:b/>
          <w:color w:val="002D9C"/>
        </w:rPr>
        <w:t xml:space="preserve">1. Decouple Probabilistic Reasoning from Deterministic Gates: </w:t>
      </w:r>
      <w:r>
        <w:t>The single most frequent attribute of 1st place winners is hybrid architecture. Use the LLM for unstructured ingestion, reasoning, and proposing strategies, but enforce strict deterministic code gates (Python constraints, cryptographic signatures, schema validators, sandboxes) before any action touches production, files, or trading APIs.</w:t>
      </w:r>
    </w:p>
    <w:p>
      <w:pPr>
        <w:pStyle w:val="ListBullet"/>
        <w:spacing w:after="120" w:line="276" w:lineRule="auto"/>
      </w:pPr>
      <w:r>
        <w:rPr>
          <w:b/>
          <w:color w:val="002D9C"/>
        </w:rPr>
        <w:t xml:space="preserve">2. Action-Oriented Multi-Agent Collaboration: </w:t>
      </w:r>
      <w:r>
        <w:t>Avoid single-agent chat interfaces. Winning systems split duties between specialized agents: e.g., an Ingestion Agent, a Critic/Reviewer Agent, an Execution Agent, and an Auditor Agent. This structure mimics human enterprise teams and prevents catastrophic hallucination loops.</w:t>
      </w:r>
    </w:p>
    <w:p>
      <w:pPr>
        <w:pStyle w:val="ListBullet"/>
        <w:spacing w:after="120" w:line="276" w:lineRule="auto"/>
      </w:pPr>
      <w:r>
        <w:rPr>
          <w:b/>
          <w:color w:val="002D9C"/>
        </w:rPr>
        <w:t xml:space="preserve">3. Enterprise Auditability &amp; Provenance: </w:t>
      </w:r>
      <w:r>
        <w:t>Judges look for production-readiness. Incorporating tamper-evident logging, append-only journals, cryptographic hashes (as pioneered by Pedigree), and automated post-mortem reporting transforms a clever weekend hack into an enterprise-grade solution.</w:t>
      </w:r>
    </w:p>
    <w:p>
      <w:pPr>
        <w:pStyle w:val="ListBullet"/>
        <w:spacing w:after="120" w:line="276" w:lineRule="auto"/>
      </w:pPr>
      <w:r>
        <w:rPr>
          <w:b/>
          <w:color w:val="002D9C"/>
        </w:rPr>
        <w:t xml:space="preserve">4. Complete Full-Stack Execution &amp; Live Proof: </w:t>
      </w:r>
      <w:r>
        <w:t>Every winner featured a responsive, clean user interface (Next.js/Vercel or Streamlit), a deployed live URL, and a compelling 2-minute video that clearly demonstrated: (1) the painful status quo, (2) the AI intervention, and (3) verified autonomous execution with hard metrics.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before="0" w:after="0" w:line="276" w:lineRule="auto"/>
            </w:pPr>
            <w:r>
              <w:rPr>
                <w:b/>
                <w:color w:val="0F62FE"/>
              </w:rPr>
              <w:t xml:space="preserve">Strategic Recommendation for IBM Bob 2.0: </w:t>
            </w:r>
            <w:r>
              <w:t>Given IBM's focus on enterprise hybrid cloud and repository reliability, the highest-probability winning concept is a deterministic multi-agent code modernization or security governance engine that leverages IBM Bob to automatically refactor, verify, and benchmark legacy codebases while providing cryptographic verification and auditable compliance logs.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