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02D9C"/>
          <w:sz w:val="44"/>
        </w:rPr>
        <w:t>RepoSplit 2.0: Deep Architectural Review &amp; Market Differentiation Analysis</w:t>
      </w:r>
    </w:p>
    <w:p>
      <w:pPr>
        <w:spacing w:before="0" w:after="280"/>
      </w:pPr>
      <w:r>
        <w:rPr>
          <w:rFonts w:ascii="Arial" w:hAnsi="Arial"/>
          <w:i/>
          <w:color w:val="6C757D"/>
          <w:sz w:val="23"/>
        </w:rPr>
        <w:t>Evaluation Against Lablab.ai Judging Rubrics, Comparison with General AI Tools (Cursor, Antigravity, Devin), and Strategic Winning Blueprint for the IBM Bob 2.0 Hackathon</w:t>
      </w:r>
    </w:p>
    <w:p>
      <w:pPr>
        <w:spacing w:before="0" w:after="280"/>
      </w:pPr>
      <w:r>
        <w:rPr>
          <w:color w:val="DCE0E6"/>
          <w:sz w:val="16"/>
        </w:rPr>
        <w:t>_________________________________________________________________________________</w:t>
      </w:r>
    </w:p>
    <w:p>
      <w:pPr>
        <w:pStyle w:val="Heading1"/>
        <w:spacing w:before="200" w:after="80"/>
      </w:pPr>
      <w:r>
        <w:rPr>
          <w:rFonts w:ascii="Arial" w:hAnsi="Arial"/>
          <w:b/>
          <w:color w:val="002D9C"/>
          <w:sz w:val="30"/>
        </w:rPr>
        <w:t>1. Executive Verdict &amp; Official Scorecard</w:t>
      </w:r>
    </w:p>
    <w:p>
      <w:pPr>
        <w:spacing w:after="160" w:line="276" w:lineRule="auto"/>
      </w:pPr>
      <w:r>
        <w:t>Executive Assessment: RepoSplit 2.0 is an exceptionally high-caliber hackathon concept, ranking in the top 3% to 5% of entries on lablab.ai. It directly targets enterprise legacy modernization—the single largest revenue generator for enterprise cloud providers like IBM—while strategically addressing the exact shortcomings of prior hackathon champions.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02D9C"/>
            <w:tcMar>
              <w:top w:w="100" w:type="dxa"/>
              <w:bottom w:w="100" w:type="dxa"/>
              <w:left w:w="100" w:type="dxa"/>
              <w:right w:w="100" w:type="dxa"/>
            </w:tcMar>
            <w:vAlign w:val="center"/>
          </w:tcPr>
          <w:p>
            <w:pPr>
              <w:spacing w:before="0" w:after="0"/>
            </w:pPr>
            <w:r>
              <w:rPr>
                <w:rFonts w:ascii="Arial" w:hAnsi="Arial"/>
                <w:b/>
                <w:color w:val="FFFFFF"/>
                <w:sz w:val="17"/>
              </w:rPr>
              <w:t>Judging Dimension</w:t>
            </w:r>
          </w:p>
        </w:tc>
        <w:tc>
          <w:tcPr>
            <w:tcW w:type="dxa" w:w="1440"/>
            <w:shd w:fill="002D9C"/>
            <w:tcMar>
              <w:top w:w="100" w:type="dxa"/>
              <w:bottom w:w="100" w:type="dxa"/>
              <w:left w:w="100" w:type="dxa"/>
              <w:right w:w="100" w:type="dxa"/>
            </w:tcMar>
            <w:vAlign w:val="center"/>
          </w:tcPr>
          <w:p>
            <w:pPr>
              <w:spacing w:before="0" w:after="0"/>
            </w:pPr>
            <w:r>
              <w:rPr>
                <w:rFonts w:ascii="Arial" w:hAnsi="Arial"/>
                <w:b/>
                <w:color w:val="FFFFFF"/>
                <w:sz w:val="17"/>
              </w:rPr>
              <w:t>Rating</w:t>
            </w:r>
          </w:p>
        </w:tc>
        <w:tc>
          <w:tcPr>
            <w:tcW w:type="dxa" w:w="1584"/>
            <w:shd w:fill="002D9C"/>
            <w:tcMar>
              <w:top w:w="100" w:type="dxa"/>
              <w:bottom w:w="100" w:type="dxa"/>
              <w:left w:w="100" w:type="dxa"/>
              <w:right w:w="100" w:type="dxa"/>
            </w:tcMar>
            <w:vAlign w:val="center"/>
          </w:tcPr>
          <w:p>
            <w:pPr>
              <w:spacing w:before="0" w:after="0"/>
            </w:pPr>
            <w:r>
              <w:rPr>
                <w:rFonts w:ascii="Arial" w:hAnsi="Arial"/>
                <w:b/>
                <w:color w:val="FFFFFF"/>
                <w:sz w:val="17"/>
              </w:rPr>
              <w:t>Tier</w:t>
            </w:r>
          </w:p>
        </w:tc>
        <w:tc>
          <w:tcPr>
            <w:tcW w:type="dxa" w:w="4320"/>
            <w:shd w:fill="002D9C"/>
            <w:tcMar>
              <w:top w:w="100" w:type="dxa"/>
              <w:bottom w:w="100" w:type="dxa"/>
              <w:left w:w="100" w:type="dxa"/>
              <w:right w:w="100" w:type="dxa"/>
            </w:tcMar>
            <w:vAlign w:val="center"/>
          </w:tcPr>
          <w:p>
            <w:pPr>
              <w:spacing w:before="0" w:after="0"/>
            </w:pPr>
            <w:r>
              <w:rPr>
                <w:rFonts w:ascii="Arial" w:hAnsi="Arial"/>
                <w:b/>
                <w:color w:val="FFFFFF"/>
                <w:sz w:val="17"/>
              </w:rPr>
              <w:t>Strategic Analysis</w:t>
            </w:r>
          </w:p>
        </w:tc>
      </w:tr>
      <w:tr>
        <w:tc>
          <w:tcPr>
            <w:tcW w:type="dxa" w:w="2592"/>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Originality &amp; Positioning</w:t>
            </w:r>
          </w:p>
        </w:tc>
        <w:tc>
          <w:tcPr>
            <w:tcW w:type="dxa" w:w="1440"/>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color w:val="0F62FE"/>
                <w:sz w:val="16"/>
              </w:rPr>
              <w:t>9.8 / 10</w:t>
            </w:r>
          </w:p>
        </w:tc>
        <w:tc>
          <w:tcPr>
            <w:tcW w:type="dxa" w:w="1584"/>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Elite</w:t>
            </w:r>
          </w:p>
        </w:tc>
        <w:tc>
          <w:tcPr>
            <w:tcW w:type="dxa" w:w="4320"/>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Masterclass competitive framing comparing prior winners as passive observers vs. an active surgical refactoring engine.</w:t>
            </w:r>
          </w:p>
        </w:tc>
      </w:tr>
      <w:tr>
        <w:tc>
          <w:tcPr>
            <w:tcW w:type="dxa" w:w="2592"/>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Sponsor Synergy (IBM)</w:t>
            </w:r>
          </w:p>
        </w:tc>
        <w:tc>
          <w:tcPr>
            <w:tcW w:type="dxa" w:w="1440"/>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color w:val="0F62FE"/>
                <w:sz w:val="16"/>
              </w:rPr>
              <w:t>9.5 / 10</w:t>
            </w:r>
          </w:p>
        </w:tc>
        <w:tc>
          <w:tcPr>
            <w:tcW w:type="dxa" w:w="1584"/>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Elite</w:t>
            </w:r>
          </w:p>
        </w:tc>
        <w:tc>
          <w:tcPr>
            <w:tcW w:type="dxa" w:w="4320"/>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Flawless alignment with IBM's hybrid cloud mission: Bob 2.0 reasoning + Red Hat OpenShift deployment + Instana distributed tracing.</w:t>
            </w:r>
          </w:p>
        </w:tc>
      </w:tr>
      <w:tr>
        <w:tc>
          <w:tcPr>
            <w:tcW w:type="dxa" w:w="2592"/>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Business Value &amp; ROI</w:t>
            </w:r>
          </w:p>
        </w:tc>
        <w:tc>
          <w:tcPr>
            <w:tcW w:type="dxa" w:w="1440"/>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color w:val="0F62FE"/>
                <w:sz w:val="16"/>
              </w:rPr>
              <w:t>9.5 / 10</w:t>
            </w:r>
          </w:p>
        </w:tc>
        <w:tc>
          <w:tcPr>
            <w:tcW w:type="dxa" w:w="1584"/>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Elite</w:t>
            </w:r>
          </w:p>
        </w:tc>
        <w:tc>
          <w:tcPr>
            <w:tcW w:type="dxa" w:w="4320"/>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Solves a real-world enterprise bottleneck: converting a $250k+, 6-month manual monolith migration into an automated scaffold in minutes.</w:t>
            </w:r>
          </w:p>
        </w:tc>
      </w:tr>
      <w:tr>
        <w:tc>
          <w:tcPr>
            <w:tcW w:type="dxa" w:w="2592"/>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Presentation &amp; Demo Appeal</w:t>
            </w:r>
          </w:p>
        </w:tc>
        <w:tc>
          <w:tcPr>
            <w:tcW w:type="dxa" w:w="1440"/>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color w:val="0F62FE"/>
                <w:sz w:val="16"/>
              </w:rPr>
              <w:t>9.0 / 10</w:t>
            </w:r>
          </w:p>
        </w:tc>
        <w:tc>
          <w:tcPr>
            <w:tcW w:type="dxa" w:w="1584"/>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Strong</w:t>
            </w:r>
          </w:p>
        </w:tc>
        <w:tc>
          <w:tcPr>
            <w:tcW w:type="dxa" w:w="4320"/>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Interactive Streamlit/D3.js graph showing monolith nodes severing into microservice pods delivers visual 'wow factor'.</w:t>
            </w:r>
          </w:p>
        </w:tc>
      </w:tr>
      <w:tr>
        <w:tc>
          <w:tcPr>
            <w:tcW w:type="dxa" w:w="2592"/>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Technical Feasibility &amp; Credibility</w:t>
            </w:r>
          </w:p>
        </w:tc>
        <w:tc>
          <w:tcPr>
            <w:tcW w:type="dxa" w:w="1440"/>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color w:val="DC2626"/>
                <w:sz w:val="16"/>
              </w:rPr>
              <w:t>6.5 / 10</w:t>
            </w:r>
          </w:p>
        </w:tc>
        <w:tc>
          <w:tcPr>
            <w:tcW w:type="dxa" w:w="1584"/>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High Risk</w:t>
            </w:r>
          </w:p>
        </w:tc>
        <w:tc>
          <w:tcPr>
            <w:tcW w:type="dxa" w:w="4320"/>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ACHILLES' HEEL: Promising automatic DB schema splitting, Saga transactions, eBPF proxies, and self-healing risks 'vaporware' skepticism.</w:t>
            </w:r>
          </w:p>
        </w:tc>
      </w:tr>
    </w:tbl>
    <w:p>
      <w:pPr>
        <w:pStyle w:val="Heading1"/>
        <w:spacing w:before="320" w:after="80"/>
      </w:pPr>
      <w:r>
        <w:rPr>
          <w:rFonts w:ascii="Arial" w:hAnsi="Arial"/>
          <w:b/>
          <w:color w:val="002D9C"/>
          <w:sz w:val="30"/>
        </w:rPr>
        <w:t>2. Core Strengths: What Makes RepoSplit 2.0 Stand Out</w:t>
      </w:r>
    </w:p>
    <w:p>
      <w:pPr>
        <w:pStyle w:val="ListBullet"/>
        <w:spacing w:after="80" w:line="276" w:lineRule="auto"/>
      </w:pPr>
      <w:r>
        <w:rPr>
          <w:b/>
          <w:color w:val="002D9C"/>
        </w:rPr>
        <w:t xml:space="preserve">A. Active Transformation vs. Passive Observation: </w:t>
      </w:r>
      <w:r>
        <w:t>The vast majority of AI hackathon projects generate passive dashboards, documentation, or code reviews. Prior winners like Pedigree (cryptographic signing), Atlas (3D city visualization), and Sandbox (failure simulation) only observe code. RepoSplit 2.0 changes the paradigm by being an active transformation engine that writes new production-ready microservices.</w:t>
      </w:r>
    </w:p>
    <w:p>
      <w:pPr>
        <w:pStyle w:val="ListBullet"/>
        <w:spacing w:after="80" w:line="276" w:lineRule="auto"/>
      </w:pPr>
      <w:r>
        <w:rPr>
          <w:b/>
          <w:color w:val="002D9C"/>
        </w:rPr>
        <w:t xml:space="preserve">B. Addressing the Database Elephant in the Room: </w:t>
      </w:r>
      <w:r>
        <w:t>95% of amateur microservice tools fail because they only slice application code and ignore relational database state. Splitting code while leaving a shared monolithic database creates a distributed nightmare with database locks. RepoSplit's DataSplit Engine tackles schema partitioning, foreign-key severing, and Saga event scaffolding directly.</w:t>
      </w:r>
    </w:p>
    <w:p>
      <w:pPr>
        <w:pStyle w:val="ListBullet"/>
        <w:spacing w:after="80" w:line="276" w:lineRule="auto"/>
      </w:pPr>
      <w:r>
        <w:rPr>
          <w:b/>
          <w:color w:val="002D9C"/>
        </w:rPr>
        <w:t xml:space="preserve">C. Deep Architectural Embed into the IBM Cloud Stack: </w:t>
      </w:r>
      <w:r>
        <w:t>Many hackathon entrants wrap generic APIs with an IBM sticker. RepoSplit 2.0 embeds deeply into IBM's enterprise portfolio: IBM Bob 2.0 for whole-repo AST reasoning, Red Hat OpenShift Helm charts for deployment, and IBM Instana OpenTelemetry for runtime observability.</w:t>
      </w:r>
    </w:p>
    <w:p>
      <w:pPr>
        <w:pStyle w:val="Heading1"/>
        <w:spacing w:before="320" w:after="80"/>
      </w:pPr>
      <w:r>
        <w:rPr>
          <w:rFonts w:ascii="Arial" w:hAnsi="Arial"/>
          <w:b/>
          <w:color w:val="002D9C"/>
          <w:sz w:val="30"/>
        </w:rPr>
        <w:t>3. Market Differentiation: Why Cursor, Antigravity, and Devin Cannot Do This</w:t>
      </w:r>
    </w:p>
    <w:p>
      <w:pPr>
        <w:spacing w:after="160" w:line="276" w:lineRule="auto"/>
      </w:pPr>
      <w:r>
        <w:t>A critical question judges will ask is: 'Why can't a developer just open Cursor, Antigravity, or Devin and prompt it to refactor a monolith?' The fundamental answer lies in the structural distinction between tactical programming assistants and architectural modernization engines.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62FE"/>
            <w:tcMar>
              <w:top w:w="100" w:type="dxa"/>
              <w:bottom w:w="100" w:type="dxa"/>
              <w:left w:w="100" w:type="dxa"/>
              <w:right w:w="100" w:type="dxa"/>
            </w:tcMar>
            <w:vAlign w:val="center"/>
          </w:tcPr>
          <w:p>
            <w:pPr>
              <w:spacing w:before="0" w:after="0"/>
            </w:pPr>
            <w:r>
              <w:rPr>
                <w:rFonts w:ascii="Arial" w:hAnsi="Arial"/>
                <w:b/>
                <w:color w:val="FFFFFF"/>
                <w:sz w:val="17"/>
              </w:rPr>
              <w:t>Capability Dimension</w:t>
            </w:r>
          </w:p>
        </w:tc>
        <w:tc>
          <w:tcPr>
            <w:tcW w:type="dxa" w:w="3600"/>
            <w:shd w:fill="0F62FE"/>
            <w:tcMar>
              <w:top w:w="100" w:type="dxa"/>
              <w:bottom w:w="100" w:type="dxa"/>
              <w:left w:w="100" w:type="dxa"/>
              <w:right w:w="100" w:type="dxa"/>
            </w:tcMar>
            <w:vAlign w:val="center"/>
          </w:tcPr>
          <w:p>
            <w:pPr>
              <w:spacing w:before="0" w:after="0"/>
            </w:pPr>
            <w:r>
              <w:rPr>
                <w:rFonts w:ascii="Arial" w:hAnsi="Arial"/>
                <w:b/>
                <w:color w:val="FFFFFF"/>
                <w:sz w:val="17"/>
              </w:rPr>
              <w:t>General AI Assistants (Cursor / Devin / Copilot)</w:t>
            </w:r>
          </w:p>
        </w:tc>
        <w:tc>
          <w:tcPr>
            <w:tcW w:type="dxa" w:w="3744"/>
            <w:shd w:fill="0F62FE"/>
            <w:tcMar>
              <w:top w:w="100" w:type="dxa"/>
              <w:bottom w:w="100" w:type="dxa"/>
              <w:left w:w="100" w:type="dxa"/>
              <w:right w:w="100" w:type="dxa"/>
            </w:tcMar>
            <w:vAlign w:val="center"/>
          </w:tcPr>
          <w:p>
            <w:pPr>
              <w:spacing w:before="0" w:after="0"/>
            </w:pPr>
            <w:r>
              <w:rPr>
                <w:rFonts w:ascii="Arial" w:hAnsi="Arial"/>
                <w:b/>
                <w:color w:val="FFFFFF"/>
                <w:sz w:val="17"/>
              </w:rPr>
              <w:t>RepoSplit 2.0 (Specialized Engine)</w:t>
            </w:r>
          </w:p>
        </w:tc>
      </w:tr>
      <w:tr>
        <w:tc>
          <w:tcPr>
            <w:tcW w:type="dxa" w:w="2592"/>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Scope of Awareness</w:t>
            </w:r>
          </w:p>
        </w:tc>
        <w:tc>
          <w:tcPr>
            <w:tcW w:type="dxa" w:w="3600"/>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File/Ticket-Level: Edits 1 to 5 files at a time. Suffers from severe context degradation across 50+ interconnected files.</w:t>
            </w:r>
          </w:p>
        </w:tc>
        <w:tc>
          <w:tcPr>
            <w:tcW w:type="dxa" w:w="3744"/>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val="0"/>
                <w:color w:val="002D9C"/>
                <w:sz w:val="16"/>
              </w:rPr>
              <w:t>Whole-System Graph: Ingests the entire repository AST and constructs an afferent/efferent coupling matrix before writing a single line of code.</w:t>
            </w:r>
          </w:p>
        </w:tc>
      </w:tr>
      <w:tr>
        <w:tc>
          <w:tcPr>
            <w:tcW w:type="dxa" w:w="2592"/>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Database State &amp; Relational Keys</w:t>
            </w:r>
          </w:p>
        </w:tc>
        <w:tc>
          <w:tcPr>
            <w:tcW w:type="dxa" w:w="3600"/>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Blind to Database State: Slices Python/Go functions but leaves shared SQL tables and cross-table foreign keys intact, causing schema collapse.</w:t>
            </w:r>
          </w:p>
        </w:tc>
        <w:tc>
          <w:tcPr>
            <w:tcW w:type="dxa" w:w="3744"/>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val="0"/>
                <w:color w:val="002D9C"/>
                <w:sz w:val="16"/>
              </w:rPr>
              <w:t>DataSplit Engine: Explicitly isolates entity clusters into domain schemas, severs relational foreign keys, and generates database migration scripts.</w:t>
            </w:r>
          </w:p>
        </w:tc>
      </w:tr>
      <w:tr>
        <w:tc>
          <w:tcPr>
            <w:tcW w:type="dxa" w:w="2592"/>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Distributed Transactions</w:t>
            </w:r>
          </w:p>
        </w:tc>
        <w:tc>
          <w:tcPr>
            <w:tcW w:type="dxa" w:w="3600"/>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Naive REST Calls: Converts in-process method calls into synchronous HTTP requests without handling network failure or rollback logic.</w:t>
            </w:r>
          </w:p>
        </w:tc>
        <w:tc>
          <w:tcPr>
            <w:tcW w:type="dxa" w:w="3744"/>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val="0"/>
                <w:color w:val="002D9C"/>
                <w:sz w:val="16"/>
              </w:rPr>
              <w:t>Saga &amp; Outbox Scaffolding: Injects asynchronous event streaming (NATS/Kafka), gRPC Protobuf definitions, and compensating rollback handlers.</w:t>
            </w:r>
          </w:p>
        </w:tc>
      </w:tr>
      <w:tr>
        <w:tc>
          <w:tcPr>
            <w:tcW w:type="dxa" w:w="2592"/>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Validation &amp; Parity</w:t>
            </w:r>
          </w:p>
        </w:tc>
        <w:tc>
          <w:tcPr>
            <w:tcW w:type="dxa" w:w="3600"/>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Unit Test Reliance: Relies on existing monolith unit tests, which inevitably break once in-process boundaries become network calls.</w:t>
            </w:r>
          </w:p>
        </w:tc>
        <w:tc>
          <w:tcPr>
            <w:tcW w:type="dxa" w:w="3744"/>
            <w:shd w:fill="F4F7FB"/>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val="0"/>
                <w:color w:val="002D9C"/>
                <w:sz w:val="16"/>
              </w:rPr>
              <w:t>Parity Testing: Replays synthetic or recorded HTTP traffic against both the legacy monolith and new services to verify byte-for-byte response parity.</w:t>
            </w:r>
          </w:p>
        </w:tc>
      </w:tr>
      <w:tr>
        <w:tc>
          <w:tcPr>
            <w:tcW w:type="dxa" w:w="2592"/>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sz w:val="16"/>
              </w:rPr>
              <w:t>Infrastructure Synthesis</w:t>
            </w:r>
          </w:p>
        </w:tc>
        <w:tc>
          <w:tcPr>
            <w:tcW w:type="dxa" w:w="3600"/>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sz w:val="16"/>
              </w:rPr>
              <w:t>No Ops Knowledge: Outputs raw code files, leaving Dockerfiles, service mesh routing, and Helm orchestration to manual labor.</w:t>
            </w:r>
          </w:p>
        </w:tc>
        <w:tc>
          <w:tcPr>
            <w:tcW w:type="dxa" w:w="3744"/>
            <w:tcMar>
              <w:top w:w="70" w:type="dxa"/>
              <w:bottom w:w="70" w:type="dxa"/>
              <w:left w:w="100" w:type="dxa"/>
              <w:right w:w="100" w:type="dxa"/>
            </w:tcMar>
            <w:vAlign w:val="center"/>
            <w:tcBorders>
              <w:bottom w:val="single" w:sz="4" w:space="0" w:color="E2E8F0"/>
            </w:tcBorders>
          </w:tcPr>
          <w:p>
            <w:pPr>
              <w:spacing w:before="0" w:after="0" w:line="252" w:lineRule="auto"/>
            </w:pPr>
            <w:r>
              <w:rPr>
                <w:rFonts w:ascii="Arial" w:hAnsi="Arial"/>
                <w:b w:val="0"/>
                <w:color w:val="002D9C"/>
                <w:sz w:val="16"/>
              </w:rPr>
              <w:t>Turnkey Cloud Infrastructure: Generates Red Hat OpenShift Helm charts, Docker Compose topologies, and Instana OpenTelemetry header injection.</w:t>
            </w:r>
          </w:p>
        </w:tc>
      </w:tr>
    </w:tbl>
    <w:p>
      <w:pPr>
        <w:pStyle w:val="Heading1"/>
        <w:spacing w:before="320" w:after="80"/>
      </w:pPr>
      <w:r>
        <w:rPr>
          <w:rFonts w:ascii="Arial" w:hAnsi="Arial"/>
          <w:b/>
          <w:color w:val="002D9C"/>
          <w:sz w:val="30"/>
        </w:rPr>
        <w:t>4. Industry Landscape &amp; The Secret Weapon: IBM Mono2Micro</w:t>
      </w:r>
    </w:p>
    <w:p>
      <w:pPr>
        <w:spacing w:after="120" w:line="276" w:lineRule="auto"/>
      </w:pPr>
      <w:r>
        <w:t>In the enterprise sector, specialized modernization tools already exist—including vFunction ($100k+/yr enterprise platform), CAST Imaging, and Moderne (OpenRewrite). Crucially, IBM Research itself developed a flagship internal tool called IBM Mono2Micro.</w:t>
      </w:r>
    </w:p>
    <w:tbl>
      <w:tblPr>
        <w:tblW w:type="auto" w:w="0"/>
        <w:jc w:val="center"/>
        <w:tblLayout w:type="fixed"/>
        <w:tblLook w:firstColumn="1" w:firstRow="1" w:lastColumn="0" w:lastRow="0" w:noHBand="0" w:noVBand="1" w:val="04A0"/>
      </w:tblPr>
      <w:tblGrid>
        <w:gridCol w:w="9936"/>
      </w:tblGrid>
      <w:tr>
        <w:tc>
          <w:tcPr>
            <w:tcW w:type="dxa" w:w="9936"/>
            <w:shd w:fill="EEF4FF"/>
            <w:tcMar>
              <w:top w:w="120" w:type="dxa"/>
              <w:bottom w:w="120" w:type="dxa"/>
              <w:left w:w="180" w:type="dxa"/>
              <w:right w:w="180" w:type="dxa"/>
            </w:tcMar>
            <w:tcBorders>
              <w:top w:val="none"/>
              <w:left w:val="single" w:sz="24" w:space="0" w:color="0F62FE"/>
              <w:bottom w:val="none"/>
              <w:right w:val="none"/>
            </w:tcBorders>
          </w:tcPr>
          <w:p>
            <w:pPr>
              <w:spacing w:before="40" w:after="40" w:line="276" w:lineRule="auto"/>
            </w:pPr>
            <w:r>
              <w:rPr>
                <w:b/>
                <w:color w:val="002D9C"/>
              </w:rPr>
              <w:t xml:space="preserve">Why IBM Mono2Micro is Your Competitive Advantage: </w:t>
            </w:r>
            <w:r>
              <w:t>IBM judges are already intimately familiar with the monolith-to-microservice challenge because they spent years engineering Mono2Micro. However, classical tools like Mono2Micro and CAST only visualize where the seams are; they cannot generate the new codebase. Your pitch position: 'Mono2Micro told enterprise architects where to cut. RepoSplit 2.0 uses IBM Bob 2.0's generative intelligence to actually execute the cut.'</w:t>
            </w:r>
          </w:p>
        </w:tc>
      </w:tr>
    </w:tbl>
    <w:p>
      <w:pPr>
        <w:pStyle w:val="Heading1"/>
        <w:spacing w:before="320" w:after="80"/>
      </w:pPr>
      <w:r>
        <w:rPr>
          <w:rFonts w:ascii="Arial" w:hAnsi="Arial"/>
          <w:b/>
          <w:color w:val="002D9C"/>
          <w:sz w:val="30"/>
        </w:rPr>
        <w:t>5. Fatal Vulnerabilities: 4 Skepticism Traps to Neutralize</w:t>
      </w:r>
    </w:p>
    <w:p>
      <w:pPr>
        <w:spacing w:after="160" w:line="276" w:lineRule="auto"/>
      </w:pPr>
      <w:r>
        <w:t>Senior backend architects and hackathon judges are inherently skeptical of grand, sweeping claims. If you do not proactively bound your scope, you risk losing marks in technical feasibility. Address these 4 traps in your demo:</w:t>
      </w:r>
    </w:p>
    <w:p>
      <w:pPr>
        <w:pStyle w:val="ListBullet"/>
        <w:spacing w:after="100" w:line="276" w:lineRule="auto"/>
      </w:pPr>
      <w:r>
        <w:rPr>
          <w:b/>
          <w:color w:val="B45309"/>
        </w:rPr>
        <w:t xml:space="preserve">Trap 1: The 'eBPF Shadow Traffic' Claim — </w:t>
      </w:r>
      <w:r>
        <w:t>Claiming a production-grade eBPF kernel proxy with automatic self-healing loops sounds like fiction for a weekend build. REPAIR: Scope this in your live demo as a 'Deterministic Parity Test Harness' using an Envoy reverse proxy or synthetic traffic runner (Locust), proving functional equivalence without overclaiming kernel-level tapping.</w:t>
      </w:r>
    </w:p>
    <w:p>
      <w:pPr>
        <w:pStyle w:val="ListBullet"/>
        <w:spacing w:after="100" w:line="276" w:lineRule="auto"/>
      </w:pPr>
      <w:r>
        <w:rPr>
          <w:b/>
          <w:color w:val="B45309"/>
        </w:rPr>
        <w:t xml:space="preserve">Trap 2: The Distributed Saga Rollback Problem — </w:t>
      </w:r>
      <w:r>
        <w:t>Replacing ACID database transactions with distributed Sagas introduces edge cases where partial failures cause data corruption. REPAIR: Explicitly showcase ONE working end-to-end Saga workflow with a compensating rollback transaction (e.g., Order Created -&gt; Inventory Reservation Fails -&gt; Order Automatically Compensated/Cancelled).</w:t>
      </w:r>
    </w:p>
    <w:p>
      <w:pPr>
        <w:pStyle w:val="ListBullet"/>
        <w:spacing w:after="100" w:line="276" w:lineRule="auto"/>
      </w:pPr>
      <w:r>
        <w:rPr>
          <w:b/>
          <w:color w:val="B45309"/>
        </w:rPr>
        <w:t xml:space="preserve">Trap 3: The Danger of 'Vaporware' Perception — </w:t>
      </w:r>
      <w:r>
        <w:t>Listing 10 enterprise features (AST parsing, DB partitioning, Saga patterns, eBPF proxies, Helm charts, Instana tracing, 3D D3 graphs, NL Q&amp;A) triggers judge suspicion. REPAIR: Live-demo a strict, working vertical slice on a concrete, real legacy monolith rather than a mock dashboard.</w:t>
      </w:r>
    </w:p>
    <w:p>
      <w:pPr>
        <w:pStyle w:val="ListBullet"/>
        <w:spacing w:after="100" w:line="276" w:lineRule="auto"/>
      </w:pPr>
      <w:r>
        <w:rPr>
          <w:b/>
          <w:color w:val="B45309"/>
        </w:rPr>
        <w:t xml:space="preserve">Trap 4: The Abstract Monolith Ambiguity — </w:t>
      </w:r>
      <w:r>
        <w:t>Never demo against a generic placeholder repo. REPAIR: Build against a real, named benchmark: e.g., 'ShopMonolith' (a 1,500-line Flask + SQLAlchemy e-commerce application with Users, Products, and Orders tables).</w:t>
      </w:r>
    </w:p>
    <w:p>
      <w:pPr>
        <w:pStyle w:val="Heading1"/>
        <w:spacing w:before="320" w:after="80"/>
      </w:pPr>
      <w:r>
        <w:rPr>
          <w:rFonts w:ascii="Arial" w:hAnsi="Arial"/>
          <w:b/>
          <w:color w:val="002D9C"/>
          <w:sz w:val="30"/>
        </w:rPr>
        <w:t>6. The Championship Demo Blueprint (3-Minute Script)</w:t>
      </w:r>
    </w:p>
    <w:p>
      <w:pPr>
        <w:spacing w:after="160" w:line="276" w:lineRule="auto"/>
      </w:pPr>
      <w:r>
        <w:t>To win 1st place in the IBM Bob 2.0 Hackathon, your 3-minute presentation video must follow this precise narrative arc:</w:t>
      </w:r>
    </w:p>
    <w:p>
      <w:pPr>
        <w:pStyle w:val="ListBullet"/>
        <w:spacing w:after="100" w:line="276" w:lineRule="auto"/>
      </w:pPr>
      <w:r>
        <w:rPr>
          <w:b/>
          <w:color w:val="0F62FE"/>
        </w:rPr>
        <w:t xml:space="preserve">0:00 - 0:45 (The Agony): </w:t>
      </w:r>
      <w:r>
        <w:t>Introduce 'ShopMonolith'—a monolithic Flask app with a shared SQLite/Postgres DB. Simulate a traffic surge: the checkout route locks the entire database, bringing down the storefront. State the problem: manual refactoring takes 6 months and costs $250k.</w:t>
      </w:r>
    </w:p>
    <w:p>
      <w:pPr>
        <w:pStyle w:val="ListBullet"/>
        <w:spacing w:after="100" w:line="276" w:lineRule="auto"/>
      </w:pPr>
      <w:r>
        <w:rPr>
          <w:b/>
          <w:color w:val="0F62FE"/>
        </w:rPr>
        <w:t xml:space="preserve">0:45 - 1:45 (The AI Intervention): </w:t>
      </w:r>
      <w:r>
        <w:t>Execute `bob-shell reposplit --repo ./ShopMonolith`. Show IBM Bob's multi-agent terminal logs analyzing the AST. Switch to the Streamlit UI: watch the connected graph untangle and color-code into 3 clean services. Highlight the DataSplit Engine severing the `orders.user_id` foreign key and generating migration scripts.</w:t>
      </w:r>
    </w:p>
    <w:p>
      <w:pPr>
        <w:pStyle w:val="ListBullet"/>
        <w:spacing w:after="100" w:line="276" w:lineRule="auto"/>
      </w:pPr>
      <w:r>
        <w:rPr>
          <w:b/>
          <w:color w:val="0F62FE"/>
        </w:rPr>
        <w:t xml:space="preserve">1:45 - 2:30 (The Concrete Proof): </w:t>
      </w:r>
      <w:r>
        <w:t>Run `docker-compose up` in the terminal to launch the 3 generated FastAPI services. Run the Parity Test suite: show all 20 API endpoints returning the exact same payload as the legacy monolith, now running with zero cross-database locking.</w:t>
      </w:r>
    </w:p>
    <w:p>
      <w:pPr>
        <w:pStyle w:val="ListBullet"/>
        <w:spacing w:after="100" w:line="276" w:lineRule="auto"/>
      </w:pPr>
      <w:r>
        <w:rPr>
          <w:b/>
          <w:color w:val="0F62FE"/>
        </w:rPr>
        <w:t xml:space="preserve">2:30 - 3:00 (The Enterprise Vision): </w:t>
      </w:r>
      <w:r>
        <w:t>Show the OpenShift Helm chart and live IBM Instana distributed trace showing requests propagating across the newly severed services. Conclude with the ROI impact: 6 months reduced to 5 minutes.</w:t>
      </w:r>
    </w:p>
    <w:p>
      <w:pPr>
        <w:pStyle w:val="Heading1"/>
        <w:spacing w:before="320" w:after="80"/>
      </w:pPr>
      <w:r>
        <w:rPr>
          <w:rFonts w:ascii="Arial" w:hAnsi="Arial"/>
          <w:b/>
          <w:color w:val="002D9C"/>
          <w:sz w:val="30"/>
        </w:rPr>
        <w:t>7. Pitch Defense Cheat-Sheet: Answering Judges' Hardest Questions</w:t>
      </w:r>
    </w:p>
    <w:p>
      <w:pPr>
        <w:spacing w:before="120" w:after="40"/>
      </w:pPr>
      <w:r>
        <w:rPr>
          <w:b/>
          <w:color w:val="002D9C"/>
        </w:rPr>
        <w:t>Judge: 'Why can't I just ask Cursor or Devin to split this monolith?'</w:t>
      </w:r>
    </w:p>
    <w:p>
      <w:pPr>
        <w:spacing w:before="0" w:after="120" w:line="276" w:lineRule="auto"/>
      </w:pPr>
      <w:r>
        <w:t>Answer: 'Cursor and Devin are tactical code-completion and file-editing tools. They operate on localized context windows and completely ignore database state. If you ask Cursor to split a monolith, it cuts Python functions but leaves the relational SQL tables connected, creating a broken distributed monolith. RepoSplit is an architectural engine: it partitions database schemas, severs foreign keys, injects Saga patterns, and generates OpenShift deployment contracts.'</w:t>
      </w:r>
    </w:p>
    <w:p>
      <w:pPr>
        <w:spacing w:before="120" w:after="40"/>
      </w:pPr>
      <w:r>
        <w:rPr>
          <w:b/>
          <w:color w:val="002D9C"/>
        </w:rPr>
        <w:t>Judge: 'How do you handle distributed transactions and consistency across severed services?'</w:t>
      </w:r>
    </w:p>
    <w:p>
      <w:pPr>
        <w:spacing w:before="0" w:after="120" w:line="276" w:lineRule="auto"/>
      </w:pPr>
      <w:r>
        <w:t>Answer: 'RepoSplit replaces in-process ACID transactions with an asynchronous Saga pattern orchestrated over NATS/Kafka. When a multi-domain operation executes—such as placing an order—each microservice emits state events. If a downstream service fails (e.g., payment rejected), the orchestrator triggers compensating rollback events to restore eventual consistency.'</w:t>
      </w:r>
    </w:p>
    <w:p>
      <w:pPr>
        <w:spacing w:before="120" w:after="40"/>
      </w:pPr>
      <w:r>
        <w:rPr>
          <w:b/>
          <w:color w:val="002D9C"/>
        </w:rPr>
        <w:t>Judge: 'How do you guarantee the AI didn't introduce breaking functional regressions?'</w:t>
      </w:r>
    </w:p>
    <w:p>
      <w:pPr>
        <w:spacing w:before="0" w:after="120" w:line="276" w:lineRule="auto"/>
      </w:pPr>
      <w:r>
        <w:t>Answer: 'We enforce automated parity testing. RepoSplit records live traffic from the legacy monolith and replays identical request payloads against the generated microservices. We evaluate response status, JSON schema compatibility, and output latency before any code is approved for OpenShift deployment.'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125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