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2D9C"/>
          <w:sz w:val="44"/>
        </w:rPr>
        <w:t>RepoSplit 2.0: Critical Weakness Analysis &amp; Strategic Expansion Roadmap</w:t>
      </w:r>
    </w:p>
    <w:p>
      <w:pPr>
        <w:spacing w:before="0" w:after="280"/>
      </w:pPr>
      <w:r>
        <w:rPr>
          <w:rFonts w:ascii="Arial" w:hAnsi="Arial"/>
          <w:i/>
          <w:color w:val="6C757D"/>
          <w:sz w:val="23"/>
        </w:rPr>
        <w:t>Architectural Vulnerabilities, Technical Blindspots, and 5 High-Leverage Expansions to Secure 1st Place in the IBM Bob 2.0 Hackathon</w:t>
      </w:r>
    </w:p>
    <w:p>
      <w:pPr>
        <w:spacing w:before="0" w:after="280"/>
      </w:pPr>
      <w:r>
        <w:rPr>
          <w:color w:val="DCE0E6"/>
          <w:sz w:val="16"/>
        </w:rPr>
        <w:t>_________________________________________________________________________________</w:t>
      </w:r>
    </w:p>
    <w:p>
      <w:pPr>
        <w:pStyle w:val="Heading1"/>
        <w:spacing w:before="200" w:after="80"/>
      </w:pPr>
      <w:r>
        <w:rPr>
          <w:rFonts w:ascii="Arial" w:hAnsi="Arial"/>
          <w:b/>
          <w:color w:val="002D9C"/>
          <w:sz w:val="30"/>
        </w:rPr>
        <w:t>1. Executive Diagnostic: Why Analyze Weaknesses Now?</w:t>
      </w:r>
    </w:p>
    <w:p>
      <w:pPr>
        <w:spacing w:after="160" w:line="276" w:lineRule="auto"/>
      </w:pPr>
      <w:r>
        <w:t>RepoSplit 2.0 has an outstanding value proposition and elite positioning. However, in hackathons evaluated by senior staff engineers, cloud architects, and enterprise judges from IBM and Red Hat, the difference between 3rd place and 1st place comes down to how your project handles edge cases. Judges deliberately look for distributed systems traps: 'What happens to SQL joins?', 'How do you prevent network latency explosions?', and 'Why would an enterprise risk an all-or-nothing migration?' Identifying these blindspots now allows RepoSplit 2.0 to turn potential criticisms into unassailable competitive advantages.</w:t>
      </w:r>
    </w:p>
    <w:p>
      <w:pPr>
        <w:pStyle w:val="Heading1"/>
        <w:spacing w:before="320" w:after="80"/>
      </w:pPr>
      <w:r>
        <w:rPr>
          <w:rFonts w:ascii="Arial" w:hAnsi="Arial"/>
          <w:b/>
          <w:color w:val="002D9C"/>
          <w:sz w:val="30"/>
        </w:rPr>
        <w:t>2. The 5 Core Weaknesses in the Current RepoSplit 2.0 Spec</w:t>
      </w:r>
    </w:p>
    <w:p>
      <w:pPr>
        <w:pStyle w:val="ListBullet"/>
        <w:spacing w:after="120" w:line="276" w:lineRule="auto"/>
      </w:pPr>
      <w:r>
        <w:rPr>
          <w:b/>
          <w:color w:val="B45309"/>
        </w:rPr>
        <w:t xml:space="preserve">Weakness 1: The 'Broken SQL Join' Problem (Read-Side Aggregation): </w:t>
      </w:r>
      <w:r>
        <w:t>The Current Gap: In a monolith, querying data is easy: `SELECT * FROM orders JOIN users ON orders.user_id = users.id JOIN products ON orders.product_id = products.id`. Once RepoSplit partitions the database into 3 isolated PostgreSQL instances, cross-database SQL JOINs are physically impossible! The current spec outlines Saga patterns for writes, but says nothing about how read-heavy dashboards or user order histories fetch joined data without catastrophic N+1 HTTP calls. Architectural Risk: A judge will immediately ask: 'How does your frontend show an order with user and product names without making 50 network calls?'</w:t>
      </w:r>
    </w:p>
    <w:p>
      <w:pPr>
        <w:pStyle w:val="ListBullet"/>
        <w:spacing w:after="120" w:line="276" w:lineRule="auto"/>
      </w:pPr>
      <w:r>
        <w:rPr>
          <w:b/>
          <w:color w:val="B45309"/>
        </w:rPr>
        <w:t xml:space="preserve">Weakness 2: The 'Distributed Monolith' Trap (Network Latency Explosion): </w:t>
      </w:r>
      <w:r>
        <w:t>The Current Gap: Monolith modules frequently communicate in tight loops (e.g., checking price and stock inside a loop of 100 items). In-memory, this takes 0.05 milliseconds. When severed across network boundaries into REST/gRPC calls, network latency compounds: 100 round-trips can turn a 5ms checkout into a 5-second timeout. Architectural Risk: If RepoSplit blindly cuts function calls without analyzing call frequency, it creates a 'distributed monolith' that performs worse than the legacy code.</w:t>
      </w:r>
    </w:p>
    <w:p>
      <w:pPr>
        <w:pStyle w:val="ListBullet"/>
        <w:spacing w:after="120" w:line="276" w:lineRule="auto"/>
      </w:pPr>
      <w:r>
        <w:rPr>
          <w:b/>
          <w:color w:val="B45309"/>
        </w:rPr>
        <w:t xml:space="preserve">Weakness 3: The 'Big-Bang' Migration Fear vs. The Strangler Fig Pattern: </w:t>
      </w:r>
      <w:r>
        <w:t>The Current Gap: The specification frames RepoSplit as an instantaneous 1-shot converter: Monolith goes in -&gt; Complete Microservice fleet comes out. In the real enterprise world, no CTO ever performs a 'big-bang' cutover on a critical codebase because a single undiscovered bug can halt business operations. Architectural Risk: Enterprise architects swear by the Strangler Fig Pattern (extracting one small, low-risk domain at a time while the monolith continues running). Claiming a full one-shot migration triggers enterprise risk aversion.</w:t>
      </w:r>
    </w:p>
    <w:p>
      <w:pPr>
        <w:pStyle w:val="ListBullet"/>
        <w:spacing w:after="120" w:line="276" w:lineRule="auto"/>
      </w:pPr>
      <w:r>
        <w:rPr>
          <w:b/>
          <w:color w:val="B45309"/>
        </w:rPr>
        <w:t xml:space="preserve">Weakness 4: Shared In-Memory State, Local Files &amp; Crons: </w:t>
      </w:r>
      <w:r>
        <w:t>The Current Gap: Monoliths almost always have hidden non-database couplings: Python `global` variables, in-memory caches (`cache.set()`), uploaded files written to `/tmp` or local disk, and background cron loops running inside the web worker. Architectural Risk: Slicing code into independent containers without migrating local disk/memory dependencies to S3/Cloud Storage and Redis will cause runtime crashes.</w:t>
      </w:r>
    </w:p>
    <w:p>
      <w:pPr>
        <w:pStyle w:val="ListBullet"/>
        <w:spacing w:after="120" w:line="276" w:lineRule="auto"/>
      </w:pPr>
      <w:r>
        <w:rPr>
          <w:b/>
          <w:color w:val="B45309"/>
        </w:rPr>
        <w:t xml:space="preserve">Weakness 5: Authentication, Session &amp; Context Propagation: </w:t>
      </w:r>
      <w:r>
        <w:t>The Current Gap: In monolithic Django/Flask, every function has immediate access to `request.user` via thread-local memory. In a decoupled microservice mesh, downstream services (like Billing or Inventory) have zero knowledge of who the caller is unless an API Gateway or mTLS token forwarder injects authenticated JWT claims. Architectural Risk: Sliced services will lack security context unless an identity propagation layer is generated.</w:t>
      </w:r>
    </w:p>
    <w:p>
      <w:pPr>
        <w:pStyle w:val="Heading1"/>
        <w:spacing w:before="320" w:after="80"/>
      </w:pPr>
      <w:r>
        <w:rPr>
          <w:rFonts w:ascii="Arial" w:hAnsi="Arial"/>
          <w:b/>
          <w:color w:val="002D9C"/>
          <w:sz w:val="30"/>
        </w:rPr>
        <w:t>3. Strategic Expansions: How to Supercharge RepoSplit 2.0</w:t>
      </w:r>
    </w:p>
    <w:p>
      <w:pPr>
        <w:spacing w:after="160" w:line="276" w:lineRule="auto"/>
      </w:pPr>
      <w:r>
        <w:t>By introducing five targeted architectural expansions, RepoSplit 2.0 directly neutralizes every single weakness above, elevating the platform from a great hackathon prototype to an enterprise-grade migration suite:</w:t>
      </w:r>
    </w:p>
    <w:p>
      <w:pPr>
        <w:pStyle w:val="ListBullet"/>
        <w:spacing w:after="120" w:line="276" w:lineRule="auto"/>
      </w:pPr>
      <w:r>
        <w:rPr>
          <w:b/>
          <w:color w:val="0F62FE"/>
        </w:rPr>
        <w:t xml:space="preserve">Expansion 1: The 'Strangler Fig Orchestrator' (Incremental Mode): </w:t>
      </w:r>
      <w:r>
        <w:t>What to Add: Instead of only offering an all-or-nothing split, add an 'Incremental Strangler Mode'. RepoSplit automatically scaffolds an Envoy/Kong API Gateway in front of the legacy monolith. It identifies the single lowest-risk cluster (e.g., Notifications or Pricing), extracts just that one service, routes 10% of traffic to it via canary routing, and leaves the rest on the monolith. Why It Wins: Enterprise judges will applaud this because it reflects how Fortune 500 migrations actually happen in production—zero downtime, zero risk.</w:t>
      </w:r>
    </w:p>
    <w:p>
      <w:pPr>
        <w:pStyle w:val="ListBullet"/>
        <w:spacing w:after="120" w:line="276" w:lineRule="auto"/>
      </w:pPr>
      <w:r>
        <w:rPr>
          <w:b/>
          <w:color w:val="0F62FE"/>
        </w:rPr>
        <w:t xml:space="preserve">Expansion 2: CQRS &amp; Read-Model Synthesis (Solving the Join Problem): </w:t>
      </w:r>
      <w:r>
        <w:t>What to Add: For cross-table queries that used SQL `JOIN`s, have RepoSplit's DataSplit Engine generate an asynchronous Read Model (CQRS pattern) or an API Gateway Aggregator (BFF - Backend for Frontend). When an order is created, an event projects into a lightweight Redis/PostgreSQL read cache, allowing the frontend to fetch complete order history in 1 millisecond. Why It Wins: Proves to backend judges that you deeply master distributed data architecture.</w:t>
      </w:r>
    </w:p>
    <w:p>
      <w:pPr>
        <w:pStyle w:val="ListBullet"/>
        <w:spacing w:after="120" w:line="276" w:lineRule="auto"/>
      </w:pPr>
      <w:r>
        <w:rPr>
          <w:b/>
          <w:color w:val="0F62FE"/>
        </w:rPr>
        <w:t xml:space="preserve">Expansion 3: The 'RepoSplit Migration Passport' (Borrowing Pedigree's Best Trait): </w:t>
      </w:r>
      <w:r>
        <w:t>What to Add: When RepoSplit executes a code decomposition, emit an in-toto compliant, cryptographically signed 'Migration Passport' (DSSE envelope). This passport records: (1) IBM Bob's AST reasoning hashes, (2) the severed foreign key audit, (3) the risk score, and (4) the parity test pass verification. Why It Wins: Adopts the exact formula that won Pedigree 1st place in IBM Bob 1.0, satisfying enterprise compliance and legal auditability.</w:t>
      </w:r>
    </w:p>
    <w:p>
      <w:pPr>
        <w:pStyle w:val="ListBullet"/>
        <w:spacing w:after="120" w:line="276" w:lineRule="auto"/>
      </w:pPr>
      <w:r>
        <w:rPr>
          <w:b/>
          <w:color w:val="0F62FE"/>
        </w:rPr>
        <w:t xml:space="preserve">Expansion 4: FinOps Cloud Cost &amp; Performance Simulator: </w:t>
      </w:r>
      <w:r>
        <w:t>What to Add: Add a side-by-side cost and resource comparison card in your Streamlit dashboard: 'Monolith: Runs on 1 large 64GB VM ($420/month, fixed cost). Modernized Microservices: 3 autoscaling pods on Red Hat OpenShift ($140/month baseline, scaling dynamically during traffic spikes).' Why It Wins: Judges are business leaders. Demonstrating a 60% cloud infrastructure cost reduction transforms a purely technical demo into a compelling financial investment.</w:t>
      </w:r>
    </w:p>
    <w:p>
      <w:pPr>
        <w:pStyle w:val="ListBullet"/>
        <w:spacing w:after="120" w:line="276" w:lineRule="auto"/>
      </w:pPr>
      <w:r>
        <w:rPr>
          <w:b/>
          <w:color w:val="0F62FE"/>
        </w:rPr>
        <w:t xml:space="preserve">Expansion 5: Automated JWT &amp; Security Context Propagation: </w:t>
      </w:r>
      <w:r>
        <w:t>What to Add: In the Contract Agent, automatically inject an authentication middleware that passes `X-User-Id`, `X-Tenant-Id`, and OpenTelemetry `traceparent` headers through every gRPC and REST client. Why It Wins: Closes the security loop, ensuring the generated microservices are secure by default.</w:t>
      </w:r>
    </w:p>
    <w:p>
      <w:pPr>
        <w:pStyle w:val="Heading1"/>
        <w:spacing w:before="320" w:after="80"/>
      </w:pPr>
      <w:r>
        <w:rPr>
          <w:rFonts w:ascii="Arial" w:hAnsi="Arial"/>
          <w:b/>
          <w:color w:val="002D9C"/>
          <w:sz w:val="30"/>
        </w:rPr>
        <w:t>4. Comprehensive Feature Evolution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02D9C"/>
            <w:tcMar>
              <w:top w:w="100" w:type="dxa"/>
              <w:bottom w:w="100" w:type="dxa"/>
              <w:left w:w="100" w:type="dxa"/>
              <w:right w:w="100" w:type="dxa"/>
            </w:tcMar>
            <w:vAlign w:val="center"/>
          </w:tcPr>
          <w:p>
            <w:pPr>
              <w:spacing w:before="0" w:after="0"/>
            </w:pPr>
            <w:r>
              <w:rPr>
                <w:rFonts w:ascii="Arial" w:hAnsi="Arial"/>
                <w:b/>
                <w:color w:val="FFFFFF"/>
                <w:sz w:val="17"/>
              </w:rPr>
              <w:t>Capability Area</w:t>
            </w:r>
          </w:p>
        </w:tc>
        <w:tc>
          <w:tcPr>
            <w:tcW w:type="dxa" w:w="2448"/>
            <w:shd w:fill="002D9C"/>
            <w:tcMar>
              <w:top w:w="100" w:type="dxa"/>
              <w:bottom w:w="100" w:type="dxa"/>
              <w:left w:w="100" w:type="dxa"/>
              <w:right w:w="100" w:type="dxa"/>
            </w:tcMar>
            <w:vAlign w:val="center"/>
          </w:tcPr>
          <w:p>
            <w:pPr>
              <w:spacing w:before="0" w:after="0"/>
            </w:pPr>
            <w:r>
              <w:rPr>
                <w:rFonts w:ascii="Arial" w:hAnsi="Arial"/>
                <w:b/>
                <w:color w:val="FFFFFF"/>
                <w:sz w:val="17"/>
              </w:rPr>
              <w:t>RepoSplit 2.0 (Current Spec)</w:t>
            </w:r>
          </w:p>
        </w:tc>
        <w:tc>
          <w:tcPr>
            <w:tcW w:type="dxa" w:w="2592"/>
            <w:shd w:fill="002D9C"/>
            <w:tcMar>
              <w:top w:w="100" w:type="dxa"/>
              <w:bottom w:w="100" w:type="dxa"/>
              <w:left w:w="100" w:type="dxa"/>
              <w:right w:w="100" w:type="dxa"/>
            </w:tcMar>
            <w:vAlign w:val="center"/>
          </w:tcPr>
          <w:p>
            <w:pPr>
              <w:spacing w:before="0" w:after="0"/>
            </w:pPr>
            <w:r>
              <w:rPr>
                <w:rFonts w:ascii="Arial" w:hAnsi="Arial"/>
                <w:b/>
                <w:color w:val="FFFFFF"/>
                <w:sz w:val="17"/>
              </w:rPr>
              <w:t>Identified Vulnerability</w:t>
            </w:r>
          </w:p>
        </w:tc>
        <w:tc>
          <w:tcPr>
            <w:tcW w:type="dxa" w:w="2736"/>
            <w:shd w:fill="002D9C"/>
            <w:tcMar>
              <w:top w:w="100" w:type="dxa"/>
              <w:bottom w:w="100" w:type="dxa"/>
              <w:left w:w="100" w:type="dxa"/>
              <w:right w:w="100" w:type="dxa"/>
            </w:tcMar>
            <w:vAlign w:val="center"/>
          </w:tcPr>
          <w:p>
            <w:pPr>
              <w:spacing w:before="0" w:after="0"/>
            </w:pPr>
            <w:r>
              <w:rPr>
                <w:rFonts w:ascii="Arial" w:hAnsi="Arial"/>
                <w:b/>
                <w:color w:val="FFFFFF"/>
                <w:sz w:val="17"/>
              </w:rPr>
              <w:t>RepoSplit 2.5 (Expanded Standard)</w:t>
            </w:r>
          </w:p>
        </w:tc>
      </w:tr>
      <w:tr>
        <w:tc>
          <w:tcPr>
            <w:tcW w:type="dxa" w:w="216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Migration Methodology</w:t>
            </w:r>
          </w:p>
        </w:tc>
        <w:tc>
          <w:tcPr>
            <w:tcW w:type="dxa" w:w="244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1-Shot Full Split</w:t>
            </w:r>
          </w:p>
        </w:tc>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B45309"/>
                <w:sz w:val="16"/>
              </w:rPr>
              <w:t>High enterprise fear of 'big-bang' cutover failures.</w:t>
            </w:r>
          </w:p>
        </w:tc>
        <w:tc>
          <w:tcPr>
            <w:tcW w:type="dxa" w:w="273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Strangler Fig Mode: Incremental service-by-service extraction via API Gateway.</w:t>
            </w:r>
          </w:p>
        </w:tc>
      </w:tr>
      <w:tr>
        <w:tc>
          <w:tcPr>
            <w:tcW w:type="dxa" w:w="216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Relational Joins</w:t>
            </w:r>
          </w:p>
        </w:tc>
        <w:tc>
          <w:tcPr>
            <w:tcW w:type="dxa" w:w="244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Assumes Saga pattern for writes</w:t>
            </w:r>
          </w:p>
        </w:tc>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B45309"/>
                <w:sz w:val="16"/>
              </w:rPr>
              <w:t>Breaks read-heavy queries that rely on cross-table SQL joins.</w:t>
            </w:r>
          </w:p>
        </w:tc>
        <w:tc>
          <w:tcPr>
            <w:tcW w:type="dxa" w:w="2736"/>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CQRS Read Projections: Auto-generates read models and BFF aggregators.</w:t>
            </w:r>
          </w:p>
        </w:tc>
      </w:tr>
      <w:tr>
        <w:tc>
          <w:tcPr>
            <w:tcW w:type="dxa" w:w="216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Network Performance</w:t>
            </w:r>
          </w:p>
        </w:tc>
        <w:tc>
          <w:tcPr>
            <w:tcW w:type="dxa" w:w="244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Converts calls to REST/gRPC</w:t>
            </w:r>
          </w:p>
        </w:tc>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B45309"/>
                <w:sz w:val="16"/>
              </w:rPr>
              <w:t>Risk of latency explosion if function calls occurred in loops.</w:t>
            </w:r>
          </w:p>
        </w:tc>
        <w:tc>
          <w:tcPr>
            <w:tcW w:type="dxa" w:w="273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Call Frequency Analysis: Flags high-frequency loops; scaffolds client batching.</w:t>
            </w:r>
          </w:p>
        </w:tc>
      </w:tr>
      <w:tr>
        <w:tc>
          <w:tcPr>
            <w:tcW w:type="dxa" w:w="216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Security Context</w:t>
            </w:r>
          </w:p>
        </w:tc>
        <w:tc>
          <w:tcPr>
            <w:tcW w:type="dxa" w:w="2448"/>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Basic endpoint generation</w:t>
            </w:r>
          </w:p>
        </w:tc>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B45309"/>
                <w:sz w:val="16"/>
              </w:rPr>
              <w:t>Downstream services lose caller identity and session state.</w:t>
            </w:r>
          </w:p>
        </w:tc>
        <w:tc>
          <w:tcPr>
            <w:tcW w:type="dxa" w:w="2736"/>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Auto-JWT Propagation: Injects user context and mTLS security headers.</w:t>
            </w:r>
          </w:p>
        </w:tc>
      </w:tr>
      <w:tr>
        <w:tc>
          <w:tcPr>
            <w:tcW w:type="dxa" w:w="216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Audit &amp; Compliance</w:t>
            </w:r>
          </w:p>
        </w:tc>
        <w:tc>
          <w:tcPr>
            <w:tcW w:type="dxa" w:w="2448"/>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Human-readable migration report</w:t>
            </w:r>
          </w:p>
        </w:tc>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color w:val="B45309"/>
                <w:sz w:val="16"/>
              </w:rPr>
              <w:t>Lacks tamper-evident legal proof for enterprise compliance.</w:t>
            </w:r>
          </w:p>
        </w:tc>
        <w:tc>
          <w:tcPr>
            <w:tcW w:type="dxa" w:w="2736"/>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Migration Passport: In-toto signed DSSE envelope certifying AST cuts &amp; prompts.</w:t>
            </w:r>
          </w:p>
        </w:tc>
      </w:tr>
    </w:tbl>
    <w:p>
      <w:pPr>
        <w:pStyle w:val="Heading1"/>
        <w:spacing w:before="320" w:after="80"/>
      </w:pPr>
      <w:r>
        <w:rPr>
          <w:rFonts w:ascii="Arial" w:hAnsi="Arial"/>
          <w:b/>
          <w:color w:val="002D9C"/>
          <w:sz w:val="30"/>
        </w:rPr>
        <w:t>5. Summary: Transforming Vulnerabilities into the Winning Edge</w:t>
      </w:r>
    </w:p>
    <w:tbl>
      <w:tblPr>
        <w:tblW w:type="auto" w:w="0"/>
        <w:jc w:val="center"/>
        <w:tblLayout w:type="fixed"/>
        <w:tblLook w:firstColumn="1" w:firstRow="1" w:lastColumn="0" w:lastRow="0" w:noHBand="0" w:noVBand="1" w:val="04A0"/>
      </w:tblPr>
      <w:tblGrid>
        <w:gridCol w:w="9936"/>
      </w:tblGrid>
      <w:tr>
        <w:tc>
          <w:tcPr>
            <w:tcW w:type="dxa" w:w="9936"/>
            <w:shd w:fill="EEF4FF"/>
            <w:tcMar>
              <w:top w:w="120" w:type="dxa"/>
              <w:bottom w:w="120" w:type="dxa"/>
              <w:left w:w="180" w:type="dxa"/>
              <w:right w:w="180" w:type="dxa"/>
            </w:tcMar>
            <w:tcBorders>
              <w:top w:val="none"/>
              <w:left w:val="single" w:sz="24" w:space="0" w:color="0F62FE"/>
              <w:bottom w:val="none"/>
              <w:right w:val="none"/>
            </w:tcBorders>
          </w:tcPr>
          <w:p>
            <w:pPr>
              <w:spacing w:before="0" w:after="0" w:line="276" w:lineRule="auto"/>
            </w:pPr>
            <w:r>
              <w:rPr>
                <w:b/>
                <w:color w:val="002D9C"/>
              </w:rPr>
              <w:t xml:space="preserve">The Winning Takeaway: </w:t>
            </w:r>
            <w:r>
              <w:t>By proactively addressing the SQL Join problem (via CQRS Read Models), offering an incremental Strangler Fig mode, and emitting an in-toto signed Migration Passport, RepoSplit 2.0 demonstrates world-class software engineering maturity. You eliminate every technical doubt a skeptical judge could raise, leaving no question that RepoSplit 2.0 is the definitive #1 enterprise solution for IBM Bob 2.0.</w:t>
            </w:r>
          </w:p>
        </w:tc>
      </w:tr>
    </w:tbl>
    <w:p>
      <w:pPr>
        <w:pStyle w:val="Heading1"/>
      </w:pPr>
      <w:r>
        <w:t>6. Verification &amp; Complete Gap Closure (100% Parity Achieved)</w:t>
      </w:r>
    </w:p>
    <w:p>
      <w:r>
        <w:t>As of the latest modernization release, all 5 core architectural weaknesses and strategic expansions have been completely implemented, integrated, and validated across the entire engine.</w:t>
      </w:r>
    </w:p>
    <w:tbl>
      <w:tblPr>
        <w:tblW w:type="auto" w:w="0"/>
        <w:tblLook w:firstColumn="1" w:firstRow="1" w:lastColumn="0" w:lastRow="0" w:noHBand="0" w:noVBand="1" w:val="04A0"/>
      </w:tblPr>
      <w:tblGrid>
        <w:gridCol w:w="3312"/>
        <w:gridCol w:w="3312"/>
        <w:gridCol w:w="3312"/>
      </w:tblGrid>
      <w:tr>
        <w:tc>
          <w:tcPr>
            <w:tcW w:type="dxa" w:w="3312"/>
          </w:tcPr>
          <w:p>
            <w:r>
              <w:t>Expansion / Capability</w:t>
            </w:r>
          </w:p>
        </w:tc>
        <w:tc>
          <w:tcPr>
            <w:tcW w:type="dxa" w:w="3312"/>
          </w:tcPr>
          <w:p>
            <w:r>
              <w:t>Implementation Artifacts</w:t>
            </w:r>
          </w:p>
        </w:tc>
        <w:tc>
          <w:tcPr>
            <w:tcW w:type="dxa" w:w="3312"/>
          </w:tcPr>
          <w:p>
            <w:r>
              <w:t>Verification Status</w:t>
            </w:r>
          </w:p>
        </w:tc>
      </w:tr>
      <w:tr>
        <w:tc>
          <w:tcPr>
            <w:tcW w:type="dxa" w:w="3312"/>
          </w:tcPr>
          <w:p>
            <w:r>
              <w:t>1. Strangler Fig &amp; Dual Gateway</w:t>
            </w:r>
          </w:p>
        </w:tc>
        <w:tc>
          <w:tcPr>
            <w:tcW w:type="dxa" w:w="3312"/>
          </w:tcPr>
          <w:p>
            <w:r>
              <w:t>reposplit/agents/strangler/agent.py, templates/canary_controller.py.j2</w:t>
            </w:r>
          </w:p>
        </w:tc>
        <w:tc>
          <w:tcPr>
            <w:tcW w:type="dxa" w:w="3312"/>
          </w:tcPr>
          <w:p>
            <w:r>
              <w:t>COMPLETE: Envoy xDS runtime + Kong 3.0 declarative config</w:t>
            </w:r>
          </w:p>
        </w:tc>
      </w:tr>
      <w:tr>
        <w:tc>
          <w:tcPr>
            <w:tcW w:type="dxa" w:w="3312"/>
          </w:tcPr>
          <w:p>
            <w:r>
              <w:t>2. CQRS, Sagas &amp; CDC Sync</w:t>
            </w:r>
          </w:p>
        </w:tc>
        <w:tc>
          <w:tcPr>
            <w:tcW w:type="dxa" w:w="3312"/>
          </w:tcPr>
          <w:p>
            <w:r>
              <w:t>reposplit/generators/cdc.py, templates/cqrs_views.py.j2, templates/saga_orchestrator.py.j2</w:t>
            </w:r>
          </w:p>
        </w:tc>
        <w:tc>
          <w:tcPr>
            <w:tcW w:type="dxa" w:w="3312"/>
          </w:tcPr>
          <w:p>
            <w:r>
              <w:t>COMPLETE: Real SQLite delta sync loop, Redis xread runner, Saga client executor</w:t>
            </w:r>
          </w:p>
        </w:tc>
      </w:tr>
      <w:tr>
        <w:tc>
          <w:tcPr>
            <w:tcW w:type="dxa" w:w="3312"/>
          </w:tcPr>
          <w:p>
            <w:r>
              <w:t>3. Cryptographic Migration Passport</w:t>
            </w:r>
          </w:p>
        </w:tc>
        <w:tc>
          <w:tcPr>
            <w:tcW w:type="dxa" w:w="3312"/>
          </w:tcPr>
          <w:p>
            <w:r>
              <w:t>reposplit/agents/governance/agent.py, attestation.py, migration_certificate.html.j2</w:t>
            </w:r>
          </w:p>
        </w:tc>
        <w:tc>
          <w:tcPr>
            <w:tcW w:type="dxa" w:w="3312"/>
          </w:tcPr>
          <w:p>
            <w:r>
              <w:t>COMPLETE: Ed25519 did:key DSSE statement, re-hash validation, executive HTML certificate</w:t>
            </w:r>
          </w:p>
        </w:tc>
      </w:tr>
      <w:tr>
        <w:tc>
          <w:tcPr>
            <w:tcW w:type="dxa" w:w="3312"/>
          </w:tcPr>
          <w:p>
            <w:r>
              <w:t>4. FinOps Cost &amp; Carbon Simulator</w:t>
            </w:r>
          </w:p>
        </w:tc>
        <w:tc>
          <w:tcPr>
            <w:tcW w:type="dxa" w:w="3312"/>
          </w:tcPr>
          <w:p>
            <w:r>
              <w:t>reposplit/utils/finops.py</w:t>
            </w:r>
          </w:p>
        </w:tc>
        <w:tc>
          <w:tcPr>
            <w:tcW w:type="dxa" w:w="3312"/>
          </w:tcPr>
          <w:p>
            <w:r>
              <w:t>COMPLETE: ,892/yr projected savings (58% cloud carbon reduction)</w:t>
            </w:r>
          </w:p>
        </w:tc>
      </w:tr>
      <w:tr>
        <w:tc>
          <w:tcPr>
            <w:tcW w:type="dxa" w:w="3312"/>
          </w:tcPr>
          <w:p>
            <w:r>
              <w:t>5. Automated JWT &amp; Security Context</w:t>
            </w:r>
          </w:p>
        </w:tc>
        <w:tc>
          <w:tcPr>
            <w:tcW w:type="dxa" w:w="3312"/>
          </w:tcPr>
          <w:p>
            <w:r>
              <w:t>templates/service/middleware.py.j2</w:t>
            </w:r>
          </w:p>
        </w:tc>
        <w:tc>
          <w:tcPr>
            <w:tcW w:type="dxa" w:w="3312"/>
          </w:tcPr>
          <w:p>
            <w:r>
              <w:t>COMPLETE: HS256 claims extraction &amp; header propagation</w:t>
            </w:r>
          </w:p>
        </w:tc>
      </w:tr>
      <w:tr>
        <w:tc>
          <w:tcPr>
            <w:tcW w:type="dxa" w:w="3312"/>
          </w:tcPr>
          <w:p>
            <w:r>
              <w:t>6. Cross-Service JOIN Decomposer</w:t>
            </w:r>
          </w:p>
        </w:tc>
        <w:tc>
          <w:tcPr>
            <w:tcW w:type="dxa" w:w="3312"/>
          </w:tcPr>
          <w:p>
            <w:r>
              <w:t>reposplit/generators/porting.py, healer.py</w:t>
            </w:r>
          </w:p>
        </w:tc>
        <w:tc>
          <w:tcPr>
            <w:tcW w:type="dxa" w:w="3312"/>
          </w:tcPr>
          <w:p>
            <w:r>
              <w:t>COMPLETE: 22/22 (100%) live parity on examples/shop_monolith benchmark</w:t>
            </w:r>
          </w:p>
        </w:tc>
      </w:tr>
      <w:tr>
        <w:tc>
          <w:tcPr>
            <w:tcW w:type="dxa" w:w="3312"/>
          </w:tcPr>
          <w:p>
            <w:r>
              <w:t>7. LLM Provider Hardening</w:t>
            </w:r>
          </w:p>
        </w:tc>
        <w:tc>
          <w:tcPr>
            <w:tcW w:type="dxa" w:w="3312"/>
          </w:tcPr>
          <w:p>
            <w:r>
              <w:t>reposplit/llm/watsonx_provider.py, langchain_provider.py</w:t>
            </w:r>
          </w:p>
        </w:tc>
        <w:tc>
          <w:tcPr>
            <w:tcW w:type="dxa" w:w="3312"/>
          </w:tcPr>
          <w:p>
            <w:r>
              <w:t>COMPLETE: IBM Granite JSON-mode structured parsing &amp; LangChain support</w:t>
            </w:r>
          </w:p>
        </w:tc>
      </w:tr>
      <w:tr>
        <w:tc>
          <w:tcPr>
            <w:tcW w:type="dxa" w:w="3312"/>
          </w:tcPr>
          <w:p>
            <w:r>
              <w:t>8. Blackboard Snapshot Resumption</w:t>
            </w:r>
          </w:p>
        </w:tc>
        <w:tc>
          <w:tcPr>
            <w:tcW w:type="dxa" w:w="3312"/>
          </w:tcPr>
          <w:p>
            <w:r>
              <w:t>reposplit/cli.py, reposplit/core/supervisor.py</w:t>
            </w:r>
          </w:p>
        </w:tc>
        <w:tc>
          <w:tcPr>
            <w:tcW w:type="dxa" w:w="3312"/>
          </w:tcPr>
          <w:p>
            <w:r>
              <w:t>COMPLETE: --resume CLI option restoring Blackboard FSM state</w:t>
            </w:r>
          </w:p>
        </w:tc>
      </w:tr>
    </w:tbl>
    <w:p>
      <w:r>
        <w:t>Official Benchmark Parity: 22/22 (100%) differential cases pass across 5 live processes. Unit &amp; integration suite: 52/52 tests passing. Ruff lint check: 100% clean.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