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02D9C"/>
          <w:sz w:val="44"/>
        </w:rPr>
        <w:t>Championship Analysis: RepoSplit 2.0 vs. Pedigree &amp; Previous Lablab.ai Winners</w:t>
      </w:r>
    </w:p>
    <w:p>
      <w:pPr>
        <w:spacing w:before="0" w:after="280"/>
      </w:pPr>
      <w:r>
        <w:rPr>
          <w:rFonts w:ascii="Arial" w:hAnsi="Arial"/>
          <w:i/>
          <w:color w:val="6C757D"/>
          <w:sz w:val="23"/>
        </w:rPr>
        <w:t>Deep-Dive Breakdown of the #1 IBM Bob Champion (Pedigree / CtrlCats), Top-Podium Precedents, and Strategic Formula to Win 1st Place in IBM Bob 2.0</w:t>
      </w:r>
    </w:p>
    <w:p>
      <w:pPr>
        <w:spacing w:before="0" w:after="280"/>
      </w:pPr>
      <w:r>
        <w:rPr>
          <w:color w:val="DCE0E6"/>
          <w:sz w:val="16"/>
        </w:rPr>
        <w:t>_________________________________________________________________________________</w:t>
      </w:r>
    </w:p>
    <w:p>
      <w:pPr>
        <w:pStyle w:val="Heading1"/>
        <w:spacing w:before="200" w:after="80"/>
      </w:pPr>
      <w:r>
        <w:rPr>
          <w:rFonts w:ascii="Arial" w:hAnsi="Arial"/>
          <w:b/>
          <w:color w:val="002D9C"/>
          <w:sz w:val="30"/>
        </w:rPr>
        <w:t>1. Executive Summary: The #1 Champion Benchmark</w:t>
      </w:r>
    </w:p>
    <w:p>
      <w:pPr>
        <w:spacing w:after="160" w:line="276" w:lineRule="auto"/>
      </w:pPr>
      <w:r>
        <w:t>To win 1st place in the IBM Bob 2.0 Hackathon, RepoSplit 2.0 must not merely be a good tool—it must outperform the standard set by the previous Grand Champion: Pedigree (built by Team CtrlCats), which won 1st place over 5,628 participants and 503 project submissions. This analysis examines the exact mechanics of why Pedigree won, contrasts it against the podium finishers (Atlas and Sandbox), and outlines the precise blueprint for RepoSplit 2.0 to claim the #1 championship title.</w:t>
      </w:r>
    </w:p>
    <w:tbl>
      <w:tblPr>
        <w:tblW w:type="auto" w:w="0"/>
        <w:jc w:val="center"/>
        <w:tblLayout w:type="fixed"/>
        <w:tblLook w:firstColumn="1" w:firstRow="1" w:lastColumn="0" w:lastRow="0" w:noHBand="0" w:noVBand="1" w:val="04A0"/>
      </w:tblPr>
      <w:tblGrid>
        <w:gridCol w:w="9936"/>
      </w:tblGrid>
      <w:tr>
        <w:tc>
          <w:tcPr>
            <w:tcW w:type="dxa" w:w="9936"/>
            <w:shd w:fill="FEF9C3"/>
            <w:tcMar>
              <w:top w:w="120" w:type="dxa"/>
              <w:bottom w:w="120" w:type="dxa"/>
              <w:left w:w="180" w:type="dxa"/>
              <w:right w:w="180" w:type="dxa"/>
            </w:tcMar>
            <w:tcBorders>
              <w:top w:val="none"/>
              <w:left w:val="single" w:sz="24" w:space="0" w:color="CA8A04"/>
              <w:bottom w:val="none"/>
              <w:right w:val="none"/>
            </w:tcBorders>
          </w:tcPr>
          <w:p>
            <w:pPr>
              <w:spacing w:before="40" w:after="40" w:line="276" w:lineRule="auto"/>
            </w:pPr>
            <w:r>
              <w:rPr>
                <w:b/>
                <w:color w:val="A16207"/>
              </w:rPr>
              <w:t xml:space="preserve">The Championship Insight: </w:t>
            </w:r>
            <w:r>
              <w:t>Pedigree won 1st place not because it had the most features, but because it had 100% technical credibility. It solved an urgent enterprise problem (EU AI Act compliance &amp; code provenance) using established cryptographic standards (in-toto, DSSE envelopes). RepoSplit 2.0 addresses a vastly more valuable enterprise problem ($250k monolith refactoring). If RepoSplit 2.0 adopts Pedigree's standard of rigor and auditability, it is positioned to win 1st place.</w:t>
            </w:r>
          </w:p>
        </w:tc>
      </w:tr>
    </w:tbl>
    <w:p>
      <w:pPr>
        <w:pStyle w:val="Heading1"/>
        <w:spacing w:before="320" w:after="80"/>
      </w:pPr>
      <w:r>
        <w:rPr>
          <w:rFonts w:ascii="Arial" w:hAnsi="Arial"/>
          <w:b/>
          <w:color w:val="002D9C"/>
          <w:sz w:val="30"/>
        </w:rPr>
        <w:t>2. Anatomy of the #1 Winner: What Made Pedigree Win?</w:t>
      </w:r>
    </w:p>
    <w:p>
      <w:pPr>
        <w:spacing w:after="120" w:line="276" w:lineRule="auto"/>
      </w:pPr>
      <w:r>
        <w:t>Pedigree was created by Team CtrlCats for the IBM Bob Hackathon 1.0. To beat 502 competing repositories, it leveraged four architectural pillars:</w:t>
      </w:r>
    </w:p>
    <w:p>
      <w:pPr>
        <w:pStyle w:val="ListBullet"/>
        <w:spacing w:after="80" w:line="276" w:lineRule="auto"/>
      </w:pPr>
      <w:r>
        <w:rPr>
          <w:b/>
          <w:color w:val="002D9C"/>
        </w:rPr>
        <w:t xml:space="preserve">1. Real Enterprise Legal &amp; Compliance Urgency: </w:t>
      </w:r>
      <w:r>
        <w:t>Enterprises and Fortune 500 legal teams are terrified of committing AI-written code into core production systems due to copyright liabilities, patent taint, and the EU AI Act. Pedigree provided a cryptographic answer to the question: 'Can you prove which lines were written by IBM Bob vs. human engineers?'</w:t>
      </w:r>
    </w:p>
    <w:p>
      <w:pPr>
        <w:pStyle w:val="ListBullet"/>
        <w:spacing w:after="80" w:line="276" w:lineRule="auto"/>
      </w:pPr>
      <w:r>
        <w:rPr>
          <w:b/>
          <w:color w:val="002D9C"/>
        </w:rPr>
        <w:t xml:space="preserve">2. Adoption of Industry Standards (in-toto &amp; DSSE): </w:t>
      </w:r>
      <w:r>
        <w:t>Rather than inventing an ad-hoc JSON format, CtrlCats used the in-toto supply chain specification and Dead Simple Signing Envelopes (DSSE). When IBM judges saw real cryptographic predicates (model ID, prompt hashes, skill hashes, human approver signatures), it felt like a CNCF / Linux Foundation standard rather than a hackathon toy.</w:t>
      </w:r>
    </w:p>
    <w:p>
      <w:pPr>
        <w:pStyle w:val="ListBullet"/>
        <w:spacing w:after="80" w:line="276" w:lineRule="auto"/>
      </w:pPr>
      <w:r>
        <w:rPr>
          <w:b/>
          <w:color w:val="002D9C"/>
        </w:rPr>
        <w:t xml:space="preserve">3. The 'Code Passport' UI (The Tangible Deliverable): </w:t>
      </w:r>
      <w:r>
        <w:t>Cryptography is invisible and dry in a demo video. Pedigree solved this by rendering a sleek, single-page 'Code Passport' web interface. A judge could click any commit hash and instantly see a visual chain-of-custody passport with green cryptographic verification checkmarks.</w:t>
      </w:r>
    </w:p>
    <w:p>
      <w:pPr>
        <w:pStyle w:val="ListBullet"/>
        <w:spacing w:after="80" w:line="276" w:lineRule="auto"/>
      </w:pPr>
      <w:r>
        <w:rPr>
          <w:b/>
          <w:color w:val="002D9C"/>
        </w:rPr>
        <w:t xml:space="preserve">4. Zero Scope Creep &amp; Bulletproof Feasibility: </w:t>
      </w:r>
      <w:r>
        <w:t>Pedigree did not claim to fix bugs, refactor architecture, or manage deployments. It did ONE thing with 100% mathematical perfection: signing and verifying AI commits at the Git boundary. Judges found zero flaws or unfulfilled claims.</w:t>
      </w:r>
    </w:p>
    <w:p>
      <w:pPr>
        <w:pStyle w:val="Heading1"/>
        <w:spacing w:before="320" w:after="80"/>
      </w:pPr>
      <w:r>
        <w:rPr>
          <w:rFonts w:ascii="Arial" w:hAnsi="Arial"/>
          <w:b/>
          <w:color w:val="002D9C"/>
          <w:sz w:val="30"/>
        </w:rPr>
        <w:t>3. Head-to-Head Matrix: RepoSplit 2.0 vs. IBM Bob 1.0 Podium</w:t>
      </w:r>
    </w:p>
    <w:p>
      <w:pPr>
        <w:spacing w:after="160" w:line="276" w:lineRule="auto"/>
      </w:pPr>
      <w:r>
        <w:t>The table below breaks down how RepoSplit 2.0 stacks up directly against all three top-podium projects from the previous hackathon:</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728"/>
            <w:shd w:fill="002D9C"/>
            <w:tcMar>
              <w:top w:w="100" w:type="dxa"/>
              <w:bottom w:w="100" w:type="dxa"/>
              <w:left w:w="100" w:type="dxa"/>
              <w:right w:w="100" w:type="dxa"/>
            </w:tcMar>
            <w:vAlign w:val="center"/>
          </w:tcPr>
          <w:p>
            <w:pPr>
              <w:spacing w:before="0" w:after="0"/>
            </w:pPr>
            <w:r>
              <w:rPr>
                <w:rFonts w:ascii="Arial" w:hAnsi="Arial"/>
                <w:b/>
                <w:color w:val="FFFFFF"/>
                <w:sz w:val="17"/>
              </w:rPr>
              <w:t>Project</w:t>
            </w:r>
          </w:p>
        </w:tc>
        <w:tc>
          <w:tcPr>
            <w:tcW w:type="dxa" w:w="1872"/>
            <w:shd w:fill="002D9C"/>
            <w:tcMar>
              <w:top w:w="100" w:type="dxa"/>
              <w:bottom w:w="100" w:type="dxa"/>
              <w:left w:w="100" w:type="dxa"/>
              <w:right w:w="100" w:type="dxa"/>
            </w:tcMar>
            <w:vAlign w:val="center"/>
          </w:tcPr>
          <w:p>
            <w:pPr>
              <w:spacing w:before="0" w:after="0"/>
            </w:pPr>
            <w:r>
              <w:rPr>
                <w:rFonts w:ascii="Arial" w:hAnsi="Arial"/>
                <w:b/>
                <w:color w:val="FFFFFF"/>
                <w:sz w:val="17"/>
              </w:rPr>
              <w:t>Placement</w:t>
            </w:r>
          </w:p>
        </w:tc>
        <w:tc>
          <w:tcPr>
            <w:tcW w:type="dxa" w:w="2016"/>
            <w:shd w:fill="002D9C"/>
            <w:tcMar>
              <w:top w:w="100" w:type="dxa"/>
              <w:bottom w:w="100" w:type="dxa"/>
              <w:left w:w="100" w:type="dxa"/>
              <w:right w:w="100" w:type="dxa"/>
            </w:tcMar>
            <w:vAlign w:val="center"/>
          </w:tcPr>
          <w:p>
            <w:pPr>
              <w:spacing w:before="0" w:after="0"/>
            </w:pPr>
            <w:r>
              <w:rPr>
                <w:rFonts w:ascii="Arial" w:hAnsi="Arial"/>
                <w:b/>
                <w:color w:val="FFFFFF"/>
                <w:sz w:val="17"/>
              </w:rPr>
              <w:t>Core Function</w:t>
            </w:r>
          </w:p>
        </w:tc>
        <w:tc>
          <w:tcPr>
            <w:tcW w:type="dxa" w:w="2016"/>
            <w:shd w:fill="002D9C"/>
            <w:tcMar>
              <w:top w:w="100" w:type="dxa"/>
              <w:bottom w:w="100" w:type="dxa"/>
              <w:left w:w="100" w:type="dxa"/>
              <w:right w:w="100" w:type="dxa"/>
            </w:tcMar>
            <w:vAlign w:val="center"/>
          </w:tcPr>
          <w:p>
            <w:pPr>
              <w:spacing w:before="0" w:after="0"/>
            </w:pPr>
            <w:r>
              <w:rPr>
                <w:rFonts w:ascii="Arial" w:hAnsi="Arial"/>
                <w:b/>
                <w:color w:val="FFFFFF"/>
                <w:sz w:val="17"/>
              </w:rPr>
              <w:t>Fatal Limitation</w:t>
            </w:r>
          </w:p>
        </w:tc>
        <w:tc>
          <w:tcPr>
            <w:tcW w:type="dxa" w:w="2304"/>
            <w:shd w:fill="002D9C"/>
            <w:tcMar>
              <w:top w:w="100" w:type="dxa"/>
              <w:bottom w:w="100" w:type="dxa"/>
              <w:left w:w="100" w:type="dxa"/>
              <w:right w:w="100" w:type="dxa"/>
            </w:tcMar>
            <w:vAlign w:val="center"/>
          </w:tcPr>
          <w:p>
            <w:pPr>
              <w:spacing w:before="0" w:after="0"/>
            </w:pPr>
            <w:r>
              <w:rPr>
                <w:rFonts w:ascii="Arial" w:hAnsi="Arial"/>
                <w:b/>
                <w:color w:val="FFFFFF"/>
                <w:sz w:val="17"/>
              </w:rPr>
              <w:t>RepoSplit 2.0 Advantage</w:t>
            </w:r>
          </w:p>
        </w:tc>
      </w:tr>
      <w:tr>
        <w:tc>
          <w:tcPr>
            <w:tcW w:type="dxa" w:w="1728"/>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sz w:val="16"/>
              </w:rPr>
              <w:t>Pedigree (CtrlCats)</w:t>
            </w:r>
          </w:p>
        </w:tc>
        <w:tc>
          <w:tcPr>
            <w:tcW w:type="dxa" w:w="1872"/>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color w:val="CA8A04"/>
                <w:sz w:val="16"/>
              </w:rPr>
              <w:t>1st Place (Champion)</w:t>
            </w:r>
          </w:p>
        </w:tc>
        <w:tc>
          <w:tcPr>
            <w:tcW w:type="dxa" w:w="2016"/>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Cryptographic commit signing &amp; in-toto provenance envelopes.</w:t>
            </w:r>
          </w:p>
        </w:tc>
        <w:tc>
          <w:tcPr>
            <w:tcW w:type="dxa" w:w="2016"/>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Passive Metadata: Does not refactor or improve code quality; purely observational.</w:t>
            </w:r>
          </w:p>
        </w:tc>
        <w:tc>
          <w:tcPr>
            <w:tcW w:type="dxa" w:w="2304"/>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Active Transformation: Slices monolithic code into deployable FastAPI microservices.</w:t>
            </w:r>
          </w:p>
        </w:tc>
      </w:tr>
      <w:tr>
        <w:tc>
          <w:tcPr>
            <w:tcW w:type="dxa" w:w="1728"/>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sz w:val="16"/>
              </w:rPr>
              <w:t>Atlas</w:t>
            </w:r>
          </w:p>
        </w:tc>
        <w:tc>
          <w:tcPr>
            <w:tcW w:type="dxa" w:w="1872"/>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sz w:val="16"/>
              </w:rPr>
              <w:t>2nd Place (Runner-Up)</w:t>
            </w:r>
          </w:p>
        </w:tc>
        <w:tc>
          <w:tcPr>
            <w:tcW w:type="dxa" w:w="2016"/>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Interactive 3D city visualization of GitHub repository ASTs.</w:t>
            </w:r>
          </w:p>
        </w:tc>
        <w:tc>
          <w:tcPr>
            <w:tcW w:type="dxa" w:w="2016"/>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Visual Only: Provides architectural insights but leaves manual refactoring to engineers.</w:t>
            </w:r>
          </w:p>
        </w:tc>
        <w:tc>
          <w:tcPr>
            <w:tcW w:type="dxa" w:w="2304"/>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Concrete Output: Generates real gRPC protobufs, Dockerfiles, and OpenShift Helm charts.</w:t>
            </w:r>
          </w:p>
        </w:tc>
      </w:tr>
      <w:tr>
        <w:tc>
          <w:tcPr>
            <w:tcW w:type="dxa" w:w="1728"/>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sz w:val="16"/>
              </w:rPr>
              <w:t>Sandbox</w:t>
            </w:r>
          </w:p>
        </w:tc>
        <w:tc>
          <w:tcPr>
            <w:tcW w:type="dxa" w:w="1872"/>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sz w:val="16"/>
              </w:rPr>
              <w:t>3rd Place (Third Place)</w:t>
            </w:r>
          </w:p>
        </w:tc>
        <w:tc>
          <w:tcPr>
            <w:tcW w:type="dxa" w:w="2016"/>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Predicts cascading deployment failures and replays test breaks.</w:t>
            </w:r>
          </w:p>
        </w:tc>
        <w:tc>
          <w:tcPr>
            <w:tcW w:type="dxa" w:w="2016"/>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Diagnostic Only: Flags deployment risks but requires human engineers to fix the code.</w:t>
            </w:r>
          </w:p>
        </w:tc>
        <w:tc>
          <w:tcPr>
            <w:tcW w:type="dxa" w:w="2304"/>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Auto-Healing &amp; Parity: Generates regression parity tests and automated boundary patches.</w:t>
            </w:r>
          </w:p>
        </w:tc>
      </w:tr>
      <w:tr>
        <w:tc>
          <w:tcPr>
            <w:tcW w:type="dxa" w:w="1728"/>
            <w:shd w:fill="EEF4FF"/>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color w:val="0F62FE"/>
                <w:sz w:val="16"/>
              </w:rPr>
              <w:t>RepoSplit 2.0</w:t>
            </w:r>
          </w:p>
        </w:tc>
        <w:tc>
          <w:tcPr>
            <w:tcW w:type="dxa" w:w="1872"/>
            <w:shd w:fill="EEF4FF"/>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color w:val="0F62FE"/>
                <w:sz w:val="16"/>
              </w:rPr>
              <w:t>TARGET: #1</w:t>
            </w:r>
          </w:p>
        </w:tc>
        <w:tc>
          <w:tcPr>
            <w:tcW w:type="dxa" w:w="2016"/>
            <w:shd w:fill="EEF4FF"/>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Autonomous monolith code &amp; database decomposition engine.</w:t>
            </w:r>
          </w:p>
        </w:tc>
        <w:tc>
          <w:tcPr>
            <w:tcW w:type="dxa" w:w="2016"/>
            <w:shd w:fill="EEF4FF"/>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Feasibility Risk if overpromised; requires bounded, working demo slice.</w:t>
            </w:r>
          </w:p>
        </w:tc>
        <w:tc>
          <w:tcPr>
            <w:tcW w:type="dxa" w:w="2304"/>
            <w:shd w:fill="EEF4FF"/>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Combined Power: Bridges visual mapping, active refactoring, and enterprise deployment.</w:t>
            </w:r>
          </w:p>
        </w:tc>
      </w:tr>
    </w:tbl>
    <w:p>
      <w:pPr>
        <w:pStyle w:val="Heading1"/>
        <w:spacing w:before="320" w:after="80"/>
      </w:pPr>
      <w:r>
        <w:rPr>
          <w:rFonts w:ascii="Arial" w:hAnsi="Arial"/>
          <w:b/>
          <w:color w:val="002D9C"/>
          <w:sz w:val="30"/>
        </w:rPr>
        <w:t>4. Cross-Hackathon Study: What Makes #1 Winners Across Lablab.ai?</w:t>
      </w:r>
    </w:p>
    <w:p>
      <w:pPr>
        <w:spacing w:after="120" w:line="276" w:lineRule="auto"/>
      </w:pPr>
      <w:r>
        <w:t>Examining Grand Prize Champions across lablab.ai (e.g., Pedigree in IBM Bob, OpsVoice AI in AssemblyAI, Blue River SAFR in AMD, Hal-Street in Alpaca, and Emergency Triage in AI Genesis) identifies five common patterns shared by every 1st-place project:</w:t>
      </w:r>
    </w:p>
    <w:p>
      <w:pPr>
        <w:pStyle w:val="ListBullet"/>
        <w:spacing w:after="80" w:line="276" w:lineRule="auto"/>
      </w:pPr>
      <w:r>
        <w:rPr>
          <w:b/>
          <w:color w:val="002D9C"/>
        </w:rPr>
        <w:t xml:space="preserve">1. B2B Enterprise Impact Over Toy Chatbots: </w:t>
      </w:r>
      <w:r>
        <w:t>Every single #1 champion tackles an expensive enterprise friction point: audit compliance (Pedigree), Kubernetes downtime (OpsVoice AI), agent safety policies (SAFR), options risk hedging (Hal-Street), or emergency clinical queues (Emergency Triage). Chatbots never win grand prizes.</w:t>
      </w:r>
    </w:p>
    <w:p>
      <w:pPr>
        <w:pStyle w:val="ListBullet"/>
        <w:spacing w:after="80" w:line="276" w:lineRule="auto"/>
      </w:pPr>
      <w:r>
        <w:rPr>
          <w:b/>
          <w:color w:val="002D9C"/>
        </w:rPr>
        <w:t xml:space="preserve">2. Deterministic Verification Gates: </w:t>
      </w:r>
      <w:r>
        <w:t>1st place projects never let an LLM run wild. Hal-Street used 18 deterministic mathematical gates before trading. Pedigree used cryptographic hashes. SAFR used runtime permission matrices. RepoSplit 2.0 must enforce deterministic AST cut scoring and parity validation.</w:t>
      </w:r>
    </w:p>
    <w:p>
      <w:pPr>
        <w:pStyle w:val="ListBullet"/>
        <w:spacing w:after="80" w:line="276" w:lineRule="auto"/>
      </w:pPr>
      <w:r>
        <w:rPr>
          <w:b/>
          <w:color w:val="002D9C"/>
        </w:rPr>
        <w:t xml:space="preserve">3. A Signature 'Hero UI' Asset: </w:t>
      </w:r>
      <w:r>
        <w:t>Champions always give judges a memorable visual anchor: Pedigree had the 'Code Passport'; Atlas had the '3D City Map'; OpsVoice had the 'Live Incident Console'; RepoSplit 2.0 has the 'Untangling D3 Dependency Graph'.</w:t>
      </w:r>
    </w:p>
    <w:p>
      <w:pPr>
        <w:pStyle w:val="ListBullet"/>
        <w:spacing w:after="80" w:line="276" w:lineRule="auto"/>
      </w:pPr>
      <w:r>
        <w:rPr>
          <w:b/>
          <w:color w:val="002D9C"/>
        </w:rPr>
        <w:t xml:space="preserve">4. Flawless Alignment with Sponsor Tech: </w:t>
      </w:r>
      <w:r>
        <w:t>Champions deeply flatter the sponsor's tech stack. Pedigree highlighted IBM Bob's commit hooks; SAFR highlighted AMD ROCm &amp; Developer Cloud; OpsVoice highlighted AssemblyAI's WebSockets API. RepoSplit 2.0 must make IBM Bob 2.0 Shell CLI the star of the show.</w:t>
      </w:r>
    </w:p>
    <w:p>
      <w:pPr>
        <w:pStyle w:val="ListBullet"/>
        <w:spacing w:after="80" w:line="276" w:lineRule="auto"/>
      </w:pPr>
      <w:r>
        <w:rPr>
          <w:b/>
          <w:color w:val="002D9C"/>
        </w:rPr>
        <w:t xml:space="preserve">5. The 'Zero-Skepticism' Demo: </w:t>
      </w:r>
      <w:r>
        <w:t>Grand champions do not show mock wireframes or PowerPoint slides. They open a real terminal, run a real command, show real network requests, and show real working outputs in under 120 seconds.</w:t>
      </w:r>
    </w:p>
    <w:p>
      <w:pPr>
        <w:pStyle w:val="Heading1"/>
        <w:spacing w:before="320" w:after="80"/>
      </w:pPr>
      <w:r>
        <w:rPr>
          <w:rFonts w:ascii="Arial" w:hAnsi="Arial"/>
          <w:b/>
          <w:color w:val="002D9C"/>
          <w:sz w:val="30"/>
        </w:rPr>
        <w:t>5. The Winning Strategy: How RepoSplit 2.0 Takes 1st Place</w:t>
      </w:r>
    </w:p>
    <w:p>
      <w:pPr>
        <w:spacing w:after="120" w:line="276" w:lineRule="auto"/>
      </w:pPr>
      <w:r>
        <w:t>To guarantee a 1st place victory in IBM Bob 2.0, RepoSplit 2.0 should synthesize Pedigree's greatest strength (cryptographic provenance) with its own active code transformation power. Here is the 3-step master strategy:</w:t>
      </w:r>
    </w:p>
    <w:p>
      <w:pPr>
        <w:pStyle w:val="ListBullet"/>
        <w:spacing w:after="100" w:line="276" w:lineRule="auto"/>
      </w:pPr>
      <w:r>
        <w:rPr>
          <w:b/>
          <w:color w:val="0F62FE"/>
        </w:rPr>
        <w:t xml:space="preserve">Step 1: Introduce the 'RepoSplit Migration Passport' (Steal Pedigree's Best Feature): </w:t>
      </w:r>
      <w:r>
        <w:t>Borrow Pedigree's championship formula directly! When RepoSplit decomposes the monolith, have it emit a cryptographically signed 'Migration Passport' (in-toto compliant). This passport certifies the exact AST boundary cuts, IBM Bob's prompt hashes, the severed foreign keys, and the parity test confidence score. This neutralizes enterprise risk and delights IBM judges.</w:t>
      </w:r>
    </w:p>
    <w:p>
      <w:pPr>
        <w:pStyle w:val="ListBullet"/>
        <w:spacing w:after="100" w:line="276" w:lineRule="auto"/>
      </w:pPr>
      <w:r>
        <w:rPr>
          <w:b/>
          <w:color w:val="0F62FE"/>
        </w:rPr>
        <w:t xml:space="preserve">Step 2: Narrow the Scope to an Unshakable 'Golden Monolith': </w:t>
      </w:r>
      <w:r>
        <w:t>Do not claim to split every language and database. Demonstrate ONE real, concrete repository: 'ShopMonolith' (Python Flask, SQLAlchemy, SQLite/PostgreSQL, 4 routes: Auth, Inventory, Orders, Payments). Showing this exact repo decompose into 3 functioning FastAPI containers with independent databases eliminates 100% of judge skepticism.</w:t>
      </w:r>
    </w:p>
    <w:p>
      <w:pPr>
        <w:pStyle w:val="ListBullet"/>
        <w:spacing w:after="100" w:line="276" w:lineRule="auto"/>
      </w:pPr>
      <w:r>
        <w:rPr>
          <w:b/>
          <w:color w:val="0F62FE"/>
        </w:rPr>
        <w:t xml:space="preserve">Step 3: Seamless Integration with Red Hat OpenShift &amp; Instana: </w:t>
      </w:r>
      <w:r>
        <w:t>IBM judges are Red Hat champions. In your demo video, show RepoSplit generating OpenShift Helm charts and an active Instana distributed trace showing HTTP calls hopping across the newly separated microservice pods.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top w:val="single" w:sz="6" w:space="0" w:color="CBD5E1"/>
              <w:left w:val="single" w:sz="6" w:space="0" w:color="CBD5E1"/>
              <w:bottom w:val="single" w:sz="6" w:space="0" w:color="CBD5E1"/>
              <w:right w:val="single" w:sz="6" w:space="0" w:color="CBD5E1"/>
            </w:tcBorders>
          </w:tcPr>
          <w:p>
            <w:pPr>
              <w:spacing w:before="0" w:after="0" w:line="276" w:lineRule="auto"/>
            </w:pPr>
            <w:r>
              <w:rPr>
                <w:b/>
                <w:color w:val="002D9C"/>
              </w:rPr>
              <w:t xml:space="preserve">Final Verdict: </w:t>
            </w:r>
            <w:r>
              <w:t>Pedigree proved that IBM judges prioritize enterprise compliance, precision, and standards over flashy toys. RepoSplit 2.0 attacks an exponentially bigger commercial prize ($250k monolith refactoring). By packaging your active code transformation engine with a concrete benchmark demo and a signed Migration Passport, RepoSplit 2.0 has the strongest architectural pedigree to become the undisputed #1 Grand Prize Champion of the IBM Bob 2.0 Hackathon.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