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A breeding establishment where at most two litters per calendar year is produced for placing on the market shall only be subject to the obligations laid down in Article 5, Article 6(1) (1b), (1c) and (1d), Article 6a, Article 7, Article 8, Article 11(2), (3) and (3a), Article 12(3), (4) and (7), Article 13(2)(b), (c) and (d), Article 14(2), (3), (4) and (5a), Article 15, Article 15a(1) and point 3 and 4.3 of Annex I.</w:t>
            </w:r>
          </w:p>
          <w:p>
            <w:pPr>
              <w:spacing w:after="0" w:before="140"/>
              <w:ind w:right="80" w:left="80" w:firstLine="0"/>
            </w:pPr>
            <w:r>
              <w:rPr>
                <w:rFonts w:ascii="Calibri" w:hAnsi="Calibri"/>
                <w:b w:val="0"/>
                <w:i w:val="0"/>
                <w:color w:val="222222"/>
                <w:sz w:val="19"/>
              </w:rPr>
              <w:t>2 — A shelter, where up to a total of 15 dogs or cats are kept at any given time, or any foster home shall only be subject to the obligations laid down in Article 5, Article 6(1), (1a), (1b), (1c), and (1d), Article 7, Article 8, Article 11(2), (3) and (3a), Article 12(3), (4) and (7), Article 13(2)(a), (b), (c) and (d), Article 14(2), (3), (4) and (5a), Article 15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140"/>
              <w:ind w:right="80" w:left="80" w:firstLine="0"/>
            </w:pPr>
            <w:r>
              <w:rPr>
                <w:rFonts w:ascii="Calibri" w:hAnsi="Calibri"/>
                <w:b w:val="0"/>
                <w:i/>
                <w:color w:val="222222"/>
                <w:sz w:val="19"/>
              </w:rPr>
              <w:t>2 —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relativo a isenções no âmbito do Regulamento europeu.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(art.ºs 7.º e 9.º) consagra os mesmos parâmetros mas desenvolve-os em artigos separados (alojamento, alimentação, ambiente) sem os denominar como domínios nem os sistematizar de forma unificada segundo o referencial OMSA.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5.º) refere 'parâmetros de bem-estar animal' genericamente, sem adotar formalmente a nomenclatura dos 5 domínios OMSA nem a sua sistematização explícita.</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10.º, n.º 1, al. a)) articula obrigações equivalentes ao nível do detentor de forma descritiva, sem sistematização nos 5 domínios nem referência ao quadro OMSA.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7.º) centra a responsabilidade no detentor em geral, sem distinguir o contexto de acolhimento temporário nem fixar limites numéricos de animais por família. O conceito de família de acolhimento é inexistente na legislação vigente.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 A responsabilidade do operador como figura distinta do detentor particular também não é contemplada.</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8.º, n.º 2) exclui da reprodução animais com defeitos genéticos e malformações (displasia, rim poliquístico) e proíbe cios sucessivos, mas não prevê o conceito de traços conformacionais excessivos nem a proibição de consanguinidade.</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34.º) proíbe intervenções cirúrgicas de modificação da aparência, mas não contém qualquer norma sobre estratégia genética de criação, conformação excessiva ou consanguinidade.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regula condições de reprodução (art.º 8.º) mas não prevê qualquer sistema de notificação ou registo de estabelecimentos criadores junto da autoridade competente.</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trata da esterilização de errantes e CED, mas não contém norma sobre notificação de criadores ou registo de estabelecimentos com fins de reprodução comercial.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57.º) exige informação escrita mas com âmbito mais amplo (duração de vida, custos) do que o @regulamento, que se foca especificamente em bem-estar e saúde.</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8.º) aproxima-se do conteúdo do @regulamento, exigindo informação escrita antes da transferência, incluindo dados de saúde e vacinação, mas ainda sem o enfoque específico em bem-estar comportamental.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genérico: exige apenas 'conhecimentos e aptidão necessária' sob orientação do médico veterinário responsável. Não detalha competências concretas nem exigências de formação formal.</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32.º) replica quase verbatim o art.º 4.º do DL n.º 276/2001, mantendo as mesmas lacunas: não fixa prazos para avaliações de bem-estar nem obrigações de manutenção de registos estruturados.</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140"/>
              <w:ind w:right="80" w:left="80" w:firstLine="0"/>
            </w:pPr>
            <w:r>
              <w:rPr>
                <w:rFonts w:ascii="Calibri" w:hAnsi="Calibri"/>
                <w:b w:val="0"/>
                <w:i/>
                <w:color w:val="222222"/>
                <w:sz w:val="19"/>
              </w:rPr>
              <w:t>2. Os operadores devem assegurar que os cães ou gatos são adequadamente alimentados e hidratados através do fornecimento de:</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bem funcionante, em particular durante a fase de desmame.</w:t>
            </w:r>
          </w:p>
          <w:p>
            <w:pPr>
              <w:spacing w:after="0" w:before="140"/>
              <w:ind w:right="80" w:left="80" w:firstLine="0"/>
            </w:pPr>
            <w:r>
              <w:rPr>
                <w:rFonts w:ascii="Calibri" w:hAnsi="Calibri"/>
                <w:b w:val="0"/>
                <w:i/>
                <w:color w:val="222222"/>
                <w:sz w:val="19"/>
              </w:rPr>
              <w:t>3. Os operadores devem assegurar que as instalações de alimentação e hidratação são mantidas limpas e são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140"/>
              <w:ind w:right="80" w:left="80" w:firstLine="0"/>
            </w:pPr>
            <w:r>
              <w:rPr>
                <w:rFonts w:ascii="Calibri" w:hAnsi="Calibri"/>
                <w:b w:val="0"/>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(n.º 1, al. a) e 10.º (n.º 1, al. a) do RGBEAC (proposta, jun. 2025)</w:t>
            </w:r>
          </w:p>
          <w:p>
            <w:pPr>
              <w:spacing w:after="0" w:before="140"/>
              <w:ind w:right="80" w:left="80" w:firstLine="0"/>
            </w:pPr>
            <w:r>
              <w:rPr>
                <w:rFonts w:ascii="Calibri" w:hAnsi="Calibri"/>
                <w:b/>
                <w:i w:val="0"/>
                <w:color w:val="333333"/>
                <w:sz w:val="18"/>
              </w:rPr>
              <w:t>Artigo 7.º - Princípios fundamentais: Não passem fome ou sede, nem sejam sujeitos a malnutrição.</w:t>
            </w:r>
          </w:p>
          <w:p>
            <w:pPr>
              <w:spacing w:after="0" w:before="200"/>
              <w:ind w:right="80" w:left="80" w:firstLine="0"/>
            </w:pPr>
            <w:r>
              <w:rPr>
                <w:rFonts w:ascii="Calibri" w:hAnsi="Calibri"/>
                <w:b/>
                <w:i w:val="0"/>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Alimentação e abeberamento:</w:t>
            </w:r>
          </w:p>
          <w:p>
            <w:pPr>
              <w:spacing w:after="0" w:before="140"/>
              <w:ind w:right="80" w:left="80" w:firstLine="0"/>
            </w:pPr>
            <w:r>
              <w:rPr>
                <w:rFonts w:ascii="Calibri" w:hAnsi="Calibri"/>
                <w:b w:val="0"/>
                <w:i w:val="0"/>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pPr>
              <w:spacing w:after="0" w:before="140"/>
              <w:ind w:right="80" w:left="80" w:firstLine="0"/>
            </w:pPr>
            <w:r>
              <w:rPr>
                <w:rFonts w:ascii="Calibri" w:hAnsi="Calibri"/>
                <w:b w:val="0"/>
                <w:i w:val="0"/>
                <w:color w:val="222222"/>
                <w:sz w:val="19"/>
              </w:rPr>
              <w:t>Os animais devem dispor de água potável e sem qualquer restrição, salvo por razões médico-veterinárias.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12.º</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APLICÁVEL - Diploma não específico nesta matéria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 46.º implementa integralmente)</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(linguagem modernizada)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COBERTURA COMPLETA. Código do Animal (Art. 46.º) implementa todos os requisitos do Artigo 11.º. RGBEAC alinha melhor com linguagem e especificidades do Regulamento europeu. Sem divergências substanciais.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RGBEAC alinha melhor com Regulamento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the annex I. Operators of shelters shall ensure that dogs or cats are provided with housing in accordance with point 2.2 of the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360" w:hanging="28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or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14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mantidos e o equipamento utilizado são adequados aos tipos e número de cães ou gatos, e permitem o acesso necessário e inspeção minuciosa de todos os cães ou gatos;</w:t>
            </w:r>
          </w:p>
          <w:p>
            <w:pPr>
              <w:spacing w:after="0" w:before="20"/>
              <w:ind w:right="80" w:left="360" w:hanging="280"/>
            </w:pPr>
            <w:r>
              <w:rPr>
                <w:rFonts w:ascii="Calibri" w:hAnsi="Calibri"/>
                <w:b w:val="0"/>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pPr>
              <w:spacing w:after="0" w:before="20"/>
              <w:ind w:right="80" w:left="360" w:hanging="280"/>
            </w:pPr>
            <w:r>
              <w:rPr>
                <w:rFonts w:ascii="Calibri" w:hAnsi="Calibri"/>
                <w:b w:val="0"/>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pPr>
              <w:spacing w:after="0" w:before="20"/>
              <w:ind w:right="80" w:left="360" w:hanging="280"/>
            </w:pPr>
            <w:r>
              <w:rPr>
                <w:rFonts w:ascii="Calibri" w:hAnsi="Calibri"/>
                <w:b w:val="0"/>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360" w:hanging="280"/>
            </w:pPr>
            <w:r>
              <w:rPr>
                <w:rFonts w:ascii="Calibri" w:hAnsi="Calibri"/>
                <w:b w:val="0"/>
                <w:i/>
                <w:color w:val="222222"/>
                <w:sz w:val="19"/>
              </w:rPr>
              <w:t>(da) os cães ou gatos têm lugares de repouso limpos, confortáveis e secos, suficientemente grandes e numerosos para assegurar que todos podem deitar-se e descansar ao mesmo tempo numa posição natural;</w:t>
            </w:r>
          </w:p>
          <w:p>
            <w:pPr>
              <w:spacing w:after="0" w:before="20"/>
              <w:ind w:right="80" w:left="360" w:hanging="280"/>
            </w:pPr>
            <w:r>
              <w:rPr>
                <w:rFonts w:ascii="Calibri" w:hAnsi="Calibri"/>
                <w:b w:val="0"/>
                <w:i/>
                <w:color w:val="222222"/>
                <w:sz w:val="19"/>
              </w:rPr>
              <w:t>e) estruturas e medidas apropriadas estão em vigor para cães ou gatos mantidos no exterior para os proteger de condições climáticas adversas, incluindo para evitar stress térmico, queimaduras solares e frieiras.</w:t>
            </w:r>
          </w:p>
          <w:p>
            <w:pPr>
              <w:spacing w:after="0" w:before="140"/>
              <w:ind w:right="80" w:left="80" w:firstLine="0"/>
            </w:pPr>
            <w:r>
              <w:rPr>
                <w:rFonts w:ascii="Calibri" w:hAnsi="Calibri"/>
                <w:b w:val="0"/>
                <w:i/>
                <w:color w:val="222222"/>
                <w:sz w:val="19"/>
              </w:rPr>
              <w:t>3. Os operadores não devem manter cães ou gatos em contentores.</w:t>
            </w:r>
          </w:p>
          <w:p>
            <w:pPr>
              <w:spacing w:after="0" w:before="140"/>
              <w:ind w:right="80" w:left="80" w:firstLine="0"/>
            </w:pPr>
            <w:r>
              <w:rPr>
                <w:rFonts w:ascii="Calibri" w:hAnsi="Calibri"/>
                <w:b w:val="0"/>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pPr>
              <w:spacing w:after="0" w:before="14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pPr>
              <w:spacing w:after="0" w:before="140"/>
              <w:ind w:right="80" w:left="80" w:firstLine="0"/>
            </w:pPr>
            <w:r>
              <w:rPr>
                <w:rFonts w:ascii="Calibri" w:hAnsi="Calibri"/>
                <w:b w:val="0"/>
                <w:i/>
                <w:color w:val="222222"/>
                <w:sz w:val="19"/>
              </w:rPr>
              <w:t>5. Quando gatos são mantidos em gatarias, os operadores devem desenhar e construir compartimentos individuais para permitir aos gatos mover-se livremente e expressar o seu comportamento natural.</w:t>
            </w:r>
          </w:p>
          <w:p>
            <w:pPr>
              <w:spacing w:after="0" w:before="140"/>
              <w:ind w:right="80" w:left="80" w:firstLine="0"/>
            </w:pPr>
            <w:r>
              <w:rPr>
                <w:rFonts w:ascii="Calibri" w:hAnsi="Calibri"/>
                <w:b w:val="0"/>
                <w:i/>
                <w:color w:val="222222"/>
                <w:sz w:val="19"/>
              </w:rPr>
              <w:t>6. Os operadores de estabelecimentos de criação e venda devem assegurar que em áreas interiores onde os cães ou gatos são mantidos, uma zona termoneural apropriada é mantida levando em conta o seu tipo de pelagem, idade, tamanho, raça e saúde.</w:t>
            </w:r>
          </w:p>
          <w:p>
            <w:pPr>
              <w:spacing w:after="0" w:before="140"/>
              <w:ind w:right="80" w:left="80" w:firstLine="0"/>
            </w:pPr>
            <w:r>
              <w:rPr>
                <w:rFonts w:ascii="Calibri" w:hAnsi="Calibri"/>
                <w:b w:val="0"/>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pPr>
              <w:spacing w:after="0" w:before="140"/>
              <w:ind w:right="80" w:left="80" w:firstLine="0"/>
            </w:pPr>
            <w:r>
              <w:rPr>
                <w:rFonts w:ascii="Calibri" w:hAnsi="Calibri"/>
                <w:b w:val="0"/>
                <w:i/>
                <w:color w:val="222222"/>
                <w:sz w:val="19"/>
              </w:rPr>
              <w:t>7. Os operadores devem assegurar que os cães ou gatos são expostos à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10.º, 11.º, 47-57 do RGBEAC (proposta, jun. 2025)</w:t>
            </w:r>
          </w:p>
          <w:p>
            <w:pPr>
              <w:spacing w:after="0" w:before="140"/>
              <w:ind w:right="80" w:left="80" w:firstLine="0"/>
            </w:pPr>
            <w:r>
              <w:rPr>
                <w:rFonts w:ascii="Calibri" w:hAnsi="Calibri"/>
                <w:b/>
                <w:i w:val="0"/>
                <w:color w:val="333333"/>
                <w:sz w:val="18"/>
              </w:rPr>
              <w:t>Artigo 7.º - Princípios: Condições de detenção e alojamento salvaguardam bem-estar animal.</w:t>
            </w:r>
          </w:p>
          <w:p>
            <w:pPr>
              <w:spacing w:after="0" w:before="200"/>
              <w:ind w:right="80" w:left="80" w:firstLine="0"/>
            </w:pPr>
            <w:r>
              <w:rPr>
                <w:rFonts w:ascii="Calibri" w:hAnsi="Calibri"/>
                <w:b/>
                <w:i w:val="0"/>
                <w:color w:val="333333"/>
                <w:sz w:val="18"/>
              </w:rPr>
              <w:t>Artigo 10.º - Obrigações especiais: Liberdade de movimento, proibição de contenção permanente, espaço adequado, enriquecimento ambiental e abrigo protetor.</w:t>
            </w:r>
          </w:p>
          <w:p>
            <w:pPr>
              <w:spacing w:after="0" w:before="200"/>
              <w:ind w:right="80" w:left="80" w:firstLine="0"/>
            </w:pPr>
            <w:r>
              <w:rPr>
                <w:rFonts w:ascii="Calibri" w:hAnsi="Calibri"/>
                <w:b/>
                <w:i w:val="0"/>
                <w:color w:val="333333"/>
                <w:sz w:val="18"/>
              </w:rPr>
              <w:t>Artigo 11.º - Obrigações especiais relativas ao alojamento doméstico.</w:t>
            </w:r>
          </w:p>
          <w:p>
            <w:pPr>
              <w:spacing w:after="0" w:before="140"/>
              <w:ind w:right="80" w:left="80" w:firstLine="0"/>
            </w:pPr>
            <w:r>
              <w:rPr>
                <w:rFonts w:ascii="Calibri" w:hAnsi="Calibri"/>
                <w:b w:val="0"/>
                <w:i w:val="0"/>
                <w:color w:val="222222"/>
                <w:sz w:val="19"/>
              </w:rPr>
              <w:t>Artigos 47-57 - Regulação detalhada de alojamentos para hospedagem (estruturas, proteção, maneio, responsabilidades 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3.º, 14.º, 18.º, 28.º do Código do Animal (DL 214/2013)</w:t>
            </w:r>
          </w:p>
          <w:p>
            <w:pPr>
              <w:spacing w:after="0" w:before="140"/>
              <w:ind w:right="80" w:left="80" w:firstLine="0"/>
            </w:pPr>
            <w:r>
              <w:rPr>
                <w:rFonts w:ascii="Calibri" w:hAnsi="Calibri"/>
                <w:b/>
                <w:i w:val="0"/>
                <w:color w:val="333333"/>
                <w:sz w:val="18"/>
              </w:rPr>
              <w:t>Artigo 3.º - Define 'Alojamento' como qualquer instalação, edifício ou local onde animais se encontram mantidos.</w:t>
            </w:r>
          </w:p>
          <w:p>
            <w:pPr>
              <w:spacing w:after="0" w:before="200"/>
              <w:ind w:right="80" w:left="80" w:firstLine="0"/>
            </w:pPr>
            <w:r>
              <w:rPr>
                <w:rFonts w:ascii="Calibri" w:hAnsi="Calibri"/>
                <w:b/>
                <w:i w:val="0"/>
                <w:color w:val="333333"/>
                <w:sz w:val="18"/>
              </w:rPr>
              <w:t>Artigo 14.º - A temperatura, ventilação, luminosidade e obscuridade devem ser adequadas ao conforto e bem-estar.</w:t>
            </w:r>
          </w:p>
          <w:p>
            <w:pPr>
              <w:spacing w:after="0" w:before="200"/>
              <w:ind w:right="80" w:left="80" w:firstLine="0"/>
            </w:pPr>
            <w:r>
              <w:rPr>
                <w:rFonts w:ascii="Calibri" w:hAnsi="Calibri"/>
                <w:b/>
                <w:i w:val="0"/>
                <w:color w:val="333333"/>
                <w:sz w:val="18"/>
              </w:rPr>
              <w:t>Artigo 18.º - Alojamentos devem possuir instalações para armazenagem, lavagem, quarentena, enfermaria e higienização.</w:t>
            </w:r>
          </w:p>
          <w:p>
            <w:pPr>
              <w:spacing w:after="0" w:before="200"/>
              <w:ind w:right="80" w:left="80" w:firstLine="0"/>
            </w:pPr>
            <w:r>
              <w:rPr>
                <w:rFonts w:ascii="Calibri" w:hAnsi="Calibri"/>
                <w:b/>
                <w:i w:val="0"/>
                <w:color w:val="333333"/>
                <w:sz w:val="18"/>
              </w:rPr>
              <w:t>Artigo 28.º - Define separação por espécie e requisitos de estrutura para hospedagem.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Artigos 8.º e 15.º</w:t>
            </w:r>
          </w:p>
          <w:p>
            <w:pPr>
              <w:spacing w:after="0" w:before="140"/>
              <w:ind w:right="80" w:left="80" w:firstLine="0"/>
            </w:pPr>
            <w:r>
              <w:rPr>
                <w:rFonts w:ascii="Calibri" w:hAnsi="Calibri"/>
                <w:b/>
                <w:i w:val="0"/>
                <w:color w:val="333333"/>
                <w:sz w:val="18"/>
              </w:rPr>
              <w:t>Artigo 8.º — 1 — Os animais devem dispor do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w:t>
            </w:r>
          </w:p>
          <w:p>
            <w:pPr>
              <w:spacing w:after="0" w:before="2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Não específico para condições técnicas de alojamento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3, 14, 18, 28)</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EXPANDIDA (especifica detalhes técnicos)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COBERTURA COMPLETA. Código do Animal e RGBEAC implementam requisitos do Artigo 12.º. Faltam especificações técnicas detalhadas (temperatura, ventilação, iluminação) — recomenda-se Portaria complementar.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Princípios cobertos; faltam normas técnicas pormenorizadas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6.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140"/>
              <w:ind w:right="80" w:left="80" w:firstLine="0"/>
            </w:pPr>
            <w:r>
              <w:rPr>
                <w:rFonts w:ascii="Calibri" w:hAnsi="Calibri"/>
                <w:b w:val="0"/>
                <w:i/>
                <w:color w:val="222222"/>
                <w:sz w:val="19"/>
              </w:rPr>
              <w:t>2. Os operadores não devem manter cães ou gatos em áreas que restringem os seus movimentos naturais, exceto no caso do artigo 12.º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O amarrar por mais de 1 hora é proibido, exceto durante 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Os Estados-Membros podem conceder derrogações do parágrafo 3 para cães destinados a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Os operadores devem assegurar que os cães ou gatos podem socializar em conformidade com o ponto 4 do Anexo I. Os operadores de estabelecimentos de criação devem documentar a sua estratégia para tal socialização.</w:t>
            </w:r>
          </w:p>
          <w:p>
            <w:pPr>
              <w:spacing w:after="0" w:before="140"/>
              <w:ind w:right="80" w:left="80" w:firstLine="0"/>
            </w:pPr>
            <w:r>
              <w:rPr>
                <w:rFonts w:ascii="Calibri" w:hAnsi="Calibri"/>
                <w:b w:val="0"/>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pPr>
              <w:spacing w:after="0" w:before="140"/>
              <w:ind w:right="80" w:left="80" w:firstLine="0"/>
            </w:pPr>
            <w:r>
              <w:rPr>
                <w:rFonts w:ascii="Calibri" w:hAnsi="Calibri"/>
                <w:b w:val="0"/>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10, 12, 13, 14, 15</w:t>
            </w:r>
          </w:p>
          <w:p>
            <w:pPr>
              <w:spacing w:after="0" w:before="140"/>
              <w:ind w:right="80" w:left="80" w:firstLine="0"/>
            </w:pPr>
            <w:r>
              <w:rPr>
                <w:rFonts w:ascii="Calibri" w:hAnsi="Calibri"/>
                <w:b w:val="0"/>
                <w:i w:val="0"/>
                <w:color w:val="222222"/>
                <w:sz w:val="19"/>
              </w:rPr>
              <w:t>Especificação clara: 'exercício físico e estímulo mental'.</w:t>
            </w:r>
          </w:p>
          <w:p>
            <w:pPr>
              <w:spacing w:after="0" w:before="20"/>
              <w:ind w:right="80" w:left="80" w:firstLine="0"/>
            </w:pPr>
            <w:r>
              <w:rPr>
                <w:rFonts w:ascii="Calibri" w:hAnsi="Calibri"/>
                <w:b w:val="0"/>
                <w:i w:val="0"/>
                <w:color w:val="222222"/>
                <w:sz w:val="19"/>
              </w:rPr>
              <w:t>'Contato social adequado'.</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20"/>
              <w:ind w:right="80" w:left="80" w:firstLine="0"/>
            </w:pPr>
            <w:r>
              <w:rPr>
                <w:rFonts w:ascii="Calibri" w:hAnsi="Calibri"/>
                <w:b w:val="0"/>
                <w:i w:val="0"/>
                <w:color w:val="222222"/>
                <w:sz w:val="19"/>
              </w:rPr>
              <w:t>Documentação obrigatória de estratégia de socialização (criadores).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0"/>
              <w:ind w:right="80" w:left="80" w:firstLine="0"/>
            </w:pPr>
            <w:r>
              <w:rPr>
                <w:rFonts w:ascii="Calibri" w:hAnsi="Calibri"/>
                <w:b/>
                <w:i w:val="0"/>
                <w:color w:val="333333"/>
                <w:sz w:val="18"/>
              </w:rPr>
              <w:t>Artigo 13.º - Espaço para exercício físico e expressão de comportamentos naturais.</w:t>
            </w:r>
          </w:p>
          <w:p>
            <w:pPr>
              <w:spacing w:after="0" w:before="140"/>
              <w:ind w:right="80" w:left="80" w:firstLine="0"/>
            </w:pPr>
            <w:r>
              <w:rPr>
                <w:rFonts w:ascii="Calibri" w:hAnsi="Calibri"/>
                <w:b w:val="0"/>
                <w:i w:val="0"/>
                <w:color w:val="222222"/>
                <w:sz w:val="19"/>
              </w:rPr>
              <w:t>Cobertura GENÉRICA: não especifica enriquecimento, socialização ou método de treino baseado em reforço positivo.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8.º</w:t>
            </w:r>
          </w:p>
          <w:p>
            <w:pPr>
              <w:spacing w:after="0" w:before="140"/>
              <w:ind w:right="80" w:left="80" w:firstLine="0"/>
            </w:pPr>
            <w:r>
              <w:rPr>
                <w:rFonts w:ascii="Calibri" w:hAnsi="Calibri"/>
                <w:b/>
                <w:i w:val="0"/>
                <w:color w:val="333333"/>
                <w:sz w:val="18"/>
              </w:rPr>
              <w:t>Artigo 8.º — 1 — Os animais devem dispor de um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Legislação vigente oferece cobertura genérica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Genérico, sem especificações sobre socialização e enriquecimento</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SIGNIFICATIVAMENTE EXPANDIDA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Regulamentação específica sobre métodos de treino</w:t>
            </w:r>
          </w:p>
          <w:p>
            <w:pPr>
              <w:spacing w:after="0" w:before="40"/>
              <w:ind w:right="80" w:left="80" w:firstLine="0"/>
            </w:pPr>
            <w:r>
              <w:rPr>
                <w:rFonts w:ascii="Calibri" w:hAnsi="Calibri"/>
                <w:b w:val="0"/>
                <w:i w:val="0"/>
                <w:color w:val="222222"/>
                <w:sz w:val="18"/>
              </w:rPr>
              <w:t>Legislação portuguesa oferece cobertura genérica. RGBEAC (2025) oferece avanço substancial com obrigatoriedade de reforço positivo e documentação de estratégia de socialização. Falta ainda regulamentação pormenorizada.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RGBEAC alinha melhor; implementação de reforço positivo obrigatório recomendada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360" w:hanging="280"/>
            </w:pPr>
            <w:r>
              <w:rPr>
                <w:rFonts w:ascii="Calibri" w:hAnsi="Calibri"/>
                <w:b w:val="0"/>
                <w:i w:val="0"/>
                <w:color w:val="222222"/>
                <w:sz w:val="19"/>
              </w:rPr>
              <w:t>(da) using prong collars;</w:t>
            </w:r>
          </w:p>
          <w:p>
            <w:pPr>
              <w:spacing w:after="0" w:before="20"/>
              <w:ind w:right="80" w:left="360" w:hanging="28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140"/>
              <w:ind w:right="80" w:left="80" w:firstLine="0"/>
            </w:pPr>
            <w:r>
              <w:rPr>
                <w:rFonts w:ascii="Calibri" w:hAnsi="Calibri"/>
                <w:b w:val="0"/>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pPr>
              <w:spacing w:after="0" w:before="140"/>
              <w:ind w:right="80" w:left="80" w:firstLine="0"/>
            </w:pPr>
            <w:r>
              <w:rPr>
                <w:rFonts w:ascii="Calibri" w:hAnsi="Calibri"/>
                <w:b w:val="0"/>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140"/>
              <w:ind w:right="80" w:left="80" w:firstLine="0"/>
            </w:pPr>
            <w:r>
              <w:rPr>
                <w:rFonts w:ascii="Calibri" w:hAnsi="Calibri"/>
                <w:b w:val="0"/>
                <w:i/>
                <w:color w:val="222222"/>
                <w:sz w:val="19"/>
              </w:rPr>
              <w:t>3.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 chutar, bater, arrastar, atirar, apertar cães ou gatos;</w:t>
            </w:r>
          </w:p>
          <w:p>
            <w:pPr>
              <w:spacing w:after="0" w:before="20"/>
              <w:ind w:right="80" w:left="360" w:hanging="280"/>
            </w:pPr>
            <w:r>
              <w:rPr>
                <w:rFonts w:ascii="Calibri" w:hAnsi="Calibri"/>
                <w:b w:val="0"/>
                <w:i/>
                <w:color w:val="222222"/>
                <w:sz w:val="19"/>
              </w:rPr>
              <w:t>c) aplicar corrente elétrica a cães ou gatos a menos que realizado por razões médicas;</w:t>
            </w:r>
          </w:p>
          <w:p>
            <w:pPr>
              <w:spacing w:after="0" w:before="20"/>
              <w:ind w:right="80" w:left="360" w:hanging="280"/>
            </w:pPr>
            <w:r>
              <w:rPr>
                <w:rFonts w:ascii="Calibri" w:hAnsi="Calibri"/>
                <w:b w:val="0"/>
                <w:i/>
                <w:color w:val="222222"/>
                <w:sz w:val="19"/>
              </w:rPr>
              <w:t>d) uso de focinheiras,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(da) uso de colares de espinhos;</w:t>
            </w:r>
          </w:p>
          <w:p>
            <w:pPr>
              <w:spacing w:after="0" w:before="20"/>
              <w:ind w:right="80" w:left="360" w:hanging="280"/>
            </w:pPr>
            <w:r>
              <w:rPr>
                <w:rFonts w:ascii="Calibri" w:hAnsi="Calibri"/>
                <w:b w:val="0"/>
                <w:i/>
                <w:color w:val="222222"/>
                <w:sz w:val="19"/>
              </w:rPr>
              <w:t>(db) uso de colares de estrangulamento sem paragem de segurança;</w:t>
            </w:r>
          </w:p>
          <w:p>
            <w:pPr>
              <w:spacing w:after="0" w:before="20"/>
              <w:ind w:right="80" w:left="360" w:hanging="280"/>
            </w:pPr>
            <w:r>
              <w:rPr>
                <w:rFonts w:ascii="Calibri" w:hAnsi="Calibri"/>
                <w:b w:val="0"/>
                <w:i/>
                <w:color w:val="222222"/>
                <w:sz w:val="19"/>
              </w:rPr>
              <w:t>e) levantar cães ou gatos pelas extremidades, cabeça, orelhas, cauda ou pêlo, ou levantar cães ou gatos adultos pela pele.</w:t>
            </w:r>
          </w:p>
          <w:p>
            <w:pPr>
              <w:spacing w:after="0" w:before="140"/>
              <w:ind w:right="80" w:left="80" w:firstLine="0"/>
            </w:pPr>
            <w:r>
              <w:rPr>
                <w:rFonts w:ascii="Calibri" w:hAnsi="Calibri"/>
                <w:b w:val="0"/>
                <w:i/>
                <w:color w:val="222222"/>
                <w:sz w:val="19"/>
              </w:rPr>
              <w:t>4. Os Estados-Membros podem conceder derrogações do parágrafo 3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Lista idêntica de mutilações proibidas ao Código.</w:t>
            </w:r>
          </w:p>
          <w:p>
            <w:pPr>
              <w:spacing w:after="0" w:before="20"/>
              <w:ind w:right="80" w:left="80" w:firstLine="0"/>
            </w:pPr>
            <w:r>
              <w:rPr>
                <w:rFonts w:ascii="Calibri" w:hAnsi="Calibri"/>
                <w:b w:val="0"/>
                <w:i w:val="0"/>
                <w:color w:val="222222"/>
                <w:sz w:val="19"/>
              </w:rPr>
              <w:t>Referência a 'boas práticas internacionais' (alinhamento com Reg. 2023/0447).</w:t>
            </w:r>
          </w:p>
          <w:p>
            <w:pPr>
              <w:spacing w:after="0" w:before="20"/>
              <w:ind w:right="80" w:left="80" w:firstLine="0"/>
            </w:pPr>
            <w:r>
              <w:rPr>
                <w:rFonts w:ascii="Calibri" w:hAnsi="Calibri"/>
                <w:b w:val="0"/>
                <w:i w:val="0"/>
                <w:color w:val="222222"/>
                <w:sz w:val="19"/>
              </w:rPr>
              <w:t>Alargamento: 'qualquer amputação sem razão médica veterinária'.</w:t>
            </w:r>
          </w:p>
          <w:p>
            <w:pPr>
              <w:spacing w:after="0" w:before="20"/>
              <w:ind w:right="80" w:left="80" w:firstLine="0"/>
            </w:pPr>
            <w:r>
              <w:rPr>
                <w:rFonts w:ascii="Calibri" w:hAnsi="Calibri"/>
                <w:b w:val="0"/>
                <w:i w:val="0"/>
                <w:color w:val="222222"/>
                <w:sz w:val="19"/>
              </w:rPr>
              <w:t>Ênfase em anestesia e analgesia prolongada.</w:t>
            </w:r>
          </w:p>
          <w:p>
            <w:pPr>
              <w:spacing w:after="0" w:before="20"/>
              <w:ind w:right="80" w:left="80" w:firstLine="0"/>
            </w:pPr>
            <w:r>
              <w:rPr>
                <w:rFonts w:ascii="Calibri" w:hAnsi="Calibri"/>
                <w:b w:val="0"/>
                <w:i w:val="0"/>
                <w:color w:val="222222"/>
                <w:sz w:val="19"/>
              </w:rPr>
              <w:t>Documentação obrigatória de indicação médica.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51.º - Intervenções cirúrgicas exclusivamente por médico veterinário.</w:t>
            </w:r>
          </w:p>
          <w:p>
            <w:pPr>
              <w:spacing w:after="0" w:before="200"/>
              <w:ind w:right="80" w:left="80" w:firstLine="0"/>
            </w:pPr>
            <w:r>
              <w:rPr>
                <w:rFonts w:ascii="Calibri" w:hAnsi="Calibri"/>
                <w:b/>
                <w:i w:val="0"/>
                <w:color w:val="333333"/>
                <w:sz w:val="18"/>
              </w:rPr>
              <w:t>Artigo 52.º - Proibição específica de mutilações:</w:t>
            </w:r>
          </w:p>
          <w:p>
            <w:pPr>
              <w:spacing w:after="0" w:before="20"/>
              <w:ind w:right="80" w:left="80" w:firstLine="0"/>
            </w:pPr>
            <w:r>
              <w:rPr>
                <w:rFonts w:ascii="Calibri" w:hAnsi="Calibri"/>
                <w:b w:val="0"/>
                <w:i w:val="0"/>
                <w:color w:val="222222"/>
                <w:sz w:val="19"/>
              </w:rPr>
              <w:t>- Corte de orelhas (exceto fins medicinais)</w:t>
            </w:r>
          </w:p>
          <w:p>
            <w:pPr>
              <w:spacing w:after="0" w:before="20"/>
              <w:ind w:right="80" w:left="80" w:firstLine="0"/>
            </w:pPr>
            <w:r>
              <w:rPr>
                <w:rFonts w:ascii="Calibri" w:hAnsi="Calibri"/>
                <w:b w:val="0"/>
                <w:i w:val="0"/>
                <w:color w:val="222222"/>
                <w:sz w:val="19"/>
              </w:rPr>
              <w:t>- Corte de cauda (revogado em 2015)</w:t>
            </w:r>
          </w:p>
          <w:p>
            <w:pPr>
              <w:spacing w:after="0" w:before="20"/>
              <w:ind w:right="80" w:left="80" w:firstLine="0"/>
            </w:pPr>
            <w:r>
              <w:rPr>
                <w:rFonts w:ascii="Calibri" w:hAnsi="Calibri"/>
                <w:b w:val="0"/>
                <w:i w:val="0"/>
                <w:color w:val="222222"/>
                <w:sz w:val="19"/>
              </w:rPr>
              <w:t>- Ressecção de cordas vocais</w:t>
            </w:r>
          </w:p>
          <w:p>
            <w:pPr>
              <w:spacing w:after="0" w:before="20"/>
              <w:ind w:right="80" w:left="80" w:firstLine="0"/>
            </w:pPr>
            <w:r>
              <w:rPr>
                <w:rFonts w:ascii="Calibri" w:hAnsi="Calibri"/>
                <w:b w:val="0"/>
                <w:i w:val="0"/>
                <w:color w:val="222222"/>
                <w:sz w:val="19"/>
              </w:rPr>
              <w:t>- Remoção de unhas/dentes</w:t>
            </w:r>
          </w:p>
          <w:p>
            <w:pPr>
              <w:spacing w:after="0" w:before="20"/>
              <w:ind w:right="80" w:left="80" w:firstLine="0"/>
            </w:pPr>
            <w:r>
              <w:rPr>
                <w:rFonts w:ascii="Calibri" w:hAnsi="Calibri"/>
                <w:b w:val="0"/>
                <w:i w:val="0"/>
                <w:color w:val="222222"/>
                <w:sz w:val="19"/>
              </w:rPr>
              <w:t>- Exceções: reprodução e interesse do animal (com documentação)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18.º —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DL 276/2001 cobre amputações documentadas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51-52)</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 EXPANSÃO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COBERTURA COMPLETA. Código do Animal (Arts. 51-52) implementa integralmente Art. 15.º. RGBEAC alinha substancialmente com Regulamento europeu. Sem divergências substanciais.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15a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and selling establishments shall not use in aesthetic shows, exhibitions and competitions of dogs and cats, dogs or cats with excessive conformational traits or dogs or cats which have been mutilated in such a way that results in an alteration of physical characteristics.</w:t>
            </w:r>
          </w:p>
          <w:p>
            <w:pPr>
              <w:spacing w:after="0" w:before="140"/>
              <w:ind w:right="80" w:left="80" w:firstLine="0"/>
            </w:pPr>
            <w:r>
              <w:rPr>
                <w:rFonts w:ascii="Calibri" w:hAnsi="Calibri"/>
                <w:b w:val="0"/>
                <w:i w:val="0"/>
                <w:color w:val="222222"/>
                <w:sz w:val="19"/>
              </w:rPr>
              <w:t>Organisers of aesthetic shows, exhibitions and competitions of dogs and cats shall exclude from such shows, exhibitions and competitions dogs and cats which have excessive conformational traits or dogs or cats which have been mutilated in such a way that results in an alteration of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140"/>
              <w:ind w:right="80" w:left="80" w:firstLine="0"/>
            </w:pPr>
            <w:r>
              <w:rPr>
                <w:rFonts w:ascii="Calibri" w:hAnsi="Calibri"/>
                <w:b w:val="0"/>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140"/>
              <w:ind w:right="80" w:left="80" w:firstLine="0"/>
            </w:pPr>
            <w:r>
              <w:rPr>
                <w:rFonts w:ascii="Calibri" w:hAnsi="Calibri"/>
                <w:b w:val="0"/>
                <w:i w:val="0"/>
                <w:color w:val="222222"/>
                <w:sz w:val="19"/>
              </w:rPr>
              <w:t>1 –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 geral da DGAV a área da realização da mesma, após parecer da respetiva câmara municipal.</w:t>
            </w:r>
          </w:p>
          <w:p>
            <w:pPr>
              <w:spacing w:after="0" w:before="140"/>
              <w:ind w:right="80" w:left="80" w:firstLine="0"/>
            </w:pPr>
            <w:r>
              <w:rPr>
                <w:rFonts w:ascii="Calibri" w:hAnsi="Calibri"/>
                <w:b w:val="0"/>
                <w:i w:val="0"/>
                <w:color w:val="222222"/>
                <w:sz w:val="19"/>
              </w:rPr>
              <w:t>3 - Só serão admitidos no evento os animais de companhia que: a) Estejam registados no SIAC; b) Quando aplicável, possuam prova de vacinação antirrábica; c) Possuam vacinações contra as principais doenças infectocontagiosas; d) Não tenham sido submetidos a intervenções cirúrgicas em infração.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14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140"/>
              <w:ind w:right="80" w:left="80" w:firstLine="0"/>
            </w:pPr>
            <w:r>
              <w:rPr>
                <w:rFonts w:ascii="Calibri" w:hAnsi="Calibri"/>
                <w:b w:val="0"/>
                <w:i w:val="0"/>
                <w:color w:val="222222"/>
                <w:sz w:val="19"/>
              </w:rPr>
              <w:t>3 - Só são admitidos a concurso os cães e gatos que: a) Estejam identificados eletronicamente; b) Sejam portadores de boletim sanitário e prova de vacinação antirrábica; c) Possuam vacinações contra principais doenças infecto-contagiosas.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n.º 27/2016 e DL n.º 82/2019 (Normas de eventos)</w:t>
            </w:r>
          </w:p>
          <w:p>
            <w:pPr>
              <w:spacing w:after="0" w:before="140"/>
              <w:ind w:right="80" w:left="80" w:firstLine="0"/>
            </w:pPr>
            <w:r>
              <w:rPr>
                <w:rFonts w:ascii="Calibri" w:hAnsi="Calibri"/>
                <w:b w:val="0"/>
                <w:i w:val="0"/>
                <w:color w:val="222222"/>
                <w:sz w:val="19"/>
              </w:rPr>
              <w:t>A legislação portuguesa estabelece que a participação de animais em espetáculos e competições requer: - Autorização prévia de autoridades competentes; - Identificação e registo no SIAC; - Vacinações obrigatórias; - Supervisão veterinária durante o evento; - Condições de bem-estar animal garantidas.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(autorização, identificação, vacinação, supervisão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(concursos e exposições com requisitos específicos)</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(participação em eventos com normas de bem-estar)</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cobre completamente os requisitos do Artigo 15a. Implementa autorizações prévias, exigências de identificação, vacinação obrigatória e supervisão veterinária. O RGBEAC (Art. 39.º) e Código do Animal (Art. 79.º) estabelecem normas detalhadas sobre espetáculos, exposições e competições estéticas.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encontradas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igualmente sem distinção entre nascimentos e entrada em estabelecimentos, ficando aquém da precisão exigida pelo @regulamento.</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mas aplica-se apenas a cães, gatos e furões.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17a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When operators advertise online a dog or a cat with a view to its placing on the Union market, they shall ensure the display of the following warning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its health and welfare and not to abandon it."</w:t>
            </w:r>
          </w:p>
          <w:p>
            <w:pPr>
              <w:spacing w:after="0" w:before="140"/>
              <w:ind w:right="80" w:left="80" w:firstLine="0"/>
            </w:pPr>
            <w:r>
              <w:rPr>
                <w:rFonts w:ascii="Calibri" w:hAnsi="Calibri"/>
                <w:b w:val="0"/>
                <w:i w:val="0"/>
                <w:color w:val="222222"/>
                <w:sz w:val="19"/>
              </w:rPr>
              <w:t>2. When natural or legal persons other than operators advertise online a dog or a cat with a view to its placing on the Union market, they shall ensure the display of a warning on responsible ownership either using the wording referred to in the first sub-paragraph or a different wording with an equivalent meaning to it.</w:t>
            </w:r>
          </w:p>
          <w:p>
            <w:pPr>
              <w:spacing w:after="0" w:before="140"/>
              <w:ind w:right="80" w:left="80" w:firstLine="0"/>
            </w:pPr>
            <w:r>
              <w:rPr>
                <w:rFonts w:ascii="Calibri" w:hAnsi="Calibri"/>
                <w:b w:val="0"/>
                <w:i w:val="0"/>
                <w:color w:val="222222"/>
                <w:sz w:val="19"/>
              </w:rPr>
              <w:t>3. When placing a dog or a cat on the market in the Union, the natural or legal person placing the dog or cat on the market shall:</w:t>
            </w:r>
          </w:p>
          <w:p>
            <w:pPr>
              <w:spacing w:after="0" w:before="100"/>
              <w:ind w:right="80" w:left="360" w:hanging="280"/>
            </w:pPr>
            <w:r>
              <w:rPr>
                <w:rFonts w:ascii="Calibri" w:hAnsi="Calibri"/>
                <w:b w:val="0"/>
                <w:i w:val="0"/>
                <w:color w:val="222222"/>
                <w:sz w:val="19"/>
              </w:rPr>
              <w:t>a) provide to the acquirer proof of the identification and registration of dog or cat in compliance with Article 17;</w:t>
            </w:r>
          </w:p>
          <w:p>
            <w:pPr>
              <w:spacing w:after="0" w:before="100"/>
              <w:ind w:right="80" w:left="360" w:hanging="280"/>
            </w:pPr>
            <w:r>
              <w:rPr>
                <w:rFonts w:ascii="Calibri" w:hAnsi="Calibri"/>
                <w:b w:val="0"/>
                <w:i w:val="0"/>
                <w:color w:val="222222"/>
                <w:sz w:val="19"/>
              </w:rPr>
              <w:t>b) provide to the acquirer the following information on the dog or cat (species, sex, date and country of birth, breed);</w:t>
            </w:r>
          </w:p>
          <w:p>
            <w:pPr>
              <w:spacing w:after="0" w:before="100"/>
              <w:ind w:right="80" w:left="360" w:hanging="280"/>
            </w:pPr>
            <w:r>
              <w:rPr>
                <w:rFonts w:ascii="Calibri" w:hAnsi="Calibri"/>
                <w:b w:val="0"/>
                <w:i w:val="0"/>
                <w:color w:val="222222"/>
                <w:sz w:val="19"/>
              </w:rPr>
              <w:t>c) in case of online advertising, use the system referred to in paragraph 6 to generate a unique verification token.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Quando operadores anunciem online um cão ou gato com vista ao seu colocamento no mercado da União, devem assegurar a apresentação do seguinte aviso no anúncio em caracteres claramente visíveis e em negrito:</w:t>
            </w:r>
          </w:p>
          <w:p>
            <w:pPr>
              <w:spacing w:after="0" w:before="14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140"/>
              <w:ind w:right="80" w:left="80" w:firstLine="0"/>
            </w:pPr>
            <w:r>
              <w:rPr>
                <w:rFonts w:ascii="Calibri" w:hAnsi="Calibri"/>
                <w:b w:val="0"/>
                <w:i/>
                <w:color w:val="222222"/>
                <w:sz w:val="19"/>
              </w:rPr>
              <w:t>2. Quando pessoas singulares ou coletivas que não sejam operadores anunciem online um cão ou gato com vista ao seu colocamento no mercado da União, devem assegurar a apresentação de um aviso sobre detenção responsável utilizando a redação referida no primeiro parágrafo ou uma redação diferente com significado equivalente.</w:t>
            </w:r>
          </w:p>
          <w:p>
            <w:pPr>
              <w:spacing w:after="0" w:before="140"/>
              <w:ind w:right="80" w:left="80" w:firstLine="0"/>
            </w:pPr>
            <w:r>
              <w:rPr>
                <w:rFonts w:ascii="Calibri" w:hAnsi="Calibri"/>
                <w:b w:val="0"/>
                <w:i/>
                <w:color w:val="222222"/>
                <w:sz w:val="19"/>
              </w:rPr>
              <w:t>3. Ao colocar um cão ou gato no mercado na União, a pessoa singular ou coletiva que coloca o cão ou gato no mercado deve:</w:t>
            </w:r>
          </w:p>
          <w:p>
            <w:pPr>
              <w:spacing w:after="0" w:before="100"/>
              <w:ind w:right="80" w:left="360" w:hanging="280"/>
            </w:pPr>
            <w:r>
              <w:rPr>
                <w:rFonts w:ascii="Calibri" w:hAnsi="Calibri"/>
                <w:b w:val="0"/>
                <w:i/>
                <w:color w:val="222222"/>
                <w:sz w:val="19"/>
              </w:rPr>
              <w:t>a) Fornecer ao adquirente prova de identificação e registo do cão ou gato em conformidade com o artigo 17.º;</w:t>
            </w:r>
          </w:p>
          <w:p>
            <w:pPr>
              <w:spacing w:after="0" w:before="100"/>
              <w:ind w:right="80" w:left="360" w:hanging="280"/>
            </w:pPr>
            <w:r>
              <w:rPr>
                <w:rFonts w:ascii="Calibri" w:hAnsi="Calibri"/>
                <w:b w:val="0"/>
                <w:i/>
                <w:color w:val="222222"/>
                <w:sz w:val="19"/>
              </w:rPr>
              <w:t>b) Fornecer ao adquirente as seguintes informações sobre o cão ou gato: espécie, sexo, data e país de nascimento, e, quando relevante, raça;</w:t>
            </w:r>
          </w:p>
          <w:p>
            <w:pPr>
              <w:spacing w:after="0" w:before="100"/>
              <w:ind w:right="80" w:left="360" w:hanging="280"/>
            </w:pPr>
            <w:r>
              <w:rPr>
                <w:rFonts w:ascii="Calibri" w:hAnsi="Calibri"/>
                <w:b w:val="0"/>
                <w:i/>
                <w:color w:val="222222"/>
                <w:sz w:val="19"/>
              </w:rPr>
              <w:t>c) No caso de anúncio online, utilizar o sistema referido no parágrafo 6 para gerar um token único de verificação e disponibilizar o token e a ligação web para o sistema referido no parágrafo 6 no anúncio.</w:t>
            </w:r>
          </w:p>
          <w:p>
            <w:pPr>
              <w:spacing w:after="0" w:before="140"/>
              <w:ind w:right="80" w:left="80" w:firstLine="0"/>
            </w:pPr>
            <w:r>
              <w:rPr>
                <w:rFonts w:ascii="Calibri" w:hAnsi="Calibri"/>
                <w:b w:val="0"/>
                <w:i/>
                <w:color w:val="222222"/>
                <w:sz w:val="19"/>
              </w:rPr>
              <w:t>4. Os adquirentes podem verificar a autenticidade da identificação, registo e propriedade de cães ou gatos anunciados online através do sistema referido no parágrafo 6.</w:t>
            </w:r>
          </w:p>
          <w:p>
            <w:pPr>
              <w:spacing w:after="0" w:before="140"/>
              <w:ind w:right="80" w:left="80" w:firstLine="0"/>
            </w:pPr>
            <w:r>
              <w:rPr>
                <w:rFonts w:ascii="Calibri" w:hAnsi="Calibri"/>
                <w:b w:val="0"/>
                <w:i/>
                <w:color w:val="222222"/>
                <w:sz w:val="19"/>
              </w:rPr>
              <w:t>5. Os fornecedores de plataformas online devem assegurar que a sua interface online é concebida e organizada de forma a facilitar aos operadores ou outras pessoas singulares ou coletivas que colocam cães ou gatos no mercado o cumprimento das suas obrigações, e devem informar os adquirentes, de forma visível, da possibilidade de verificar a identificação e o registo do cão ou gato através de uma ligação web para o sistema referido no parágrafo 6.</w:t>
            </w:r>
          </w:p>
          <w:p>
            <w:pPr>
              <w:spacing w:after="0" w:before="140"/>
              <w:ind w:right="80" w:left="80" w:firstLine="0"/>
            </w:pPr>
            <w:r>
              <w:rPr>
                <w:rFonts w:ascii="Calibri" w:hAnsi="Calibri"/>
                <w:b w:val="0"/>
                <w:i/>
                <w:color w:val="222222"/>
                <w:sz w:val="19"/>
              </w:rPr>
              <w:t>6. A Comissão garante que um sistema de verificação online que realiza controlos automatizados da autenticidade da identificação, registo e propriedade de cães ou gatos anunciados online, utilizando a base de dados referida no artigo 19.º, está disponível publicamente gratuitamente e gera o token único de verificação referido no parágrafo 3, alínea 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95.º + Art.º 115.º n.º 3 do RGBEAC (proposta, jun. 2025)</w:t>
            </w:r>
          </w:p>
          <w:p>
            <w:pPr>
              <w:spacing w:after="0" w:before="140"/>
              <w:ind w:right="80" w:left="80" w:firstLine="0"/>
            </w:pPr>
            <w:r>
              <w:rPr>
                <w:rFonts w:ascii="Calibri" w:hAnsi="Calibri"/>
                <w:b/>
                <w:i w:val="0"/>
                <w:color w:val="333333"/>
                <w:sz w:val="18"/>
              </w:rPr>
              <w:t>Artigo 95.º - Local de venda dos animais</w:t>
            </w:r>
          </w:p>
          <w:p>
            <w:pPr>
              <w:spacing w:after="0" w:before="14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14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 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val="0"/>
                <w:i w:val="0"/>
                <w:color w:val="222222"/>
                <w:sz w:val="19"/>
              </w:rPr>
              <w:t>A legislação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val="0"/>
                <w:i w:val="0"/>
                <w:color w:val="222222"/>
                <w:sz w:val="19"/>
              </w:rPr>
              <w:t>A legislação portuguesa estabelece controlos sobre a comercialização de cães e gatos, com requisitos de identificação e documentação sanitária. DL 82/2019 reforça as normas de rastreabilidade através do SIAC.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Proíbe venda online mas sem sistema de verificação online específico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restrições comerciais mas não implementa sistema de token de verificação</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A legislação portuguesa PROÍBE a publicidade e venda de animais de companhia na Internet (Art. 95.º RGBEAC). Falta apenas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Legislação portuguesa mais restritiva - proíbe venda online; Reg. EU permite com verificação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Professional training of dog and cat caretakers  ·  Art.º 18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9 the competent authorities shall be responsible for:</w:t>
            </w:r>
          </w:p>
          <w:p>
            <w:pPr>
              <w:spacing w:after="0" w:before="100"/>
              <w:ind w:right="80" w:left="360" w:hanging="280"/>
            </w:pPr>
            <w:r>
              <w:rPr>
                <w:rFonts w:ascii="Calibri" w:hAnsi="Calibri"/>
                <w:b w:val="0"/>
                <w:i w:val="0"/>
                <w:color w:val="222222"/>
                <w:sz w:val="19"/>
              </w:rPr>
              <w:t>a) ensuring that training courses are available for animal caretakers;</w:t>
            </w:r>
          </w:p>
          <w:p>
            <w:pPr>
              <w:spacing w:after="0" w:before="100"/>
              <w:ind w:right="80" w:left="360" w:hanging="280"/>
            </w:pPr>
            <w:r>
              <w:rPr>
                <w:rFonts w:ascii="Calibri" w:hAnsi="Calibri"/>
                <w:b w:val="0"/>
                <w:i w:val="0"/>
                <w:color w:val="222222"/>
                <w:sz w:val="19"/>
              </w:rPr>
              <w:t>b) approving the content of the training courses referred to in point (a), taking into account the minimum requirements laid down by the implementing acts referred to in Article 9(3);</w:t>
            </w:r>
          </w:p>
          <w:p>
            <w:pPr>
              <w:spacing w:after="0" w:before="140"/>
              <w:ind w:right="80" w:left="80" w:firstLine="0"/>
            </w:pPr>
            <w:r>
              <w:rPr>
                <w:rFonts w:ascii="Calibri" w:hAnsi="Calibri"/>
                <w:b w:val="0"/>
                <w:i w:val="0"/>
                <w:color w:val="222222"/>
                <w:sz w:val="19"/>
              </w:rPr>
              <w:t>ba) certifying the animal caretakers who successfully completed the training courses referred to in point (a).</w:t>
            </w:r>
          </w:p>
          <w:p>
            <w:pPr>
              <w:spacing w:after="0" w:before="140"/>
              <w:ind w:right="80" w:left="80" w:firstLine="0"/>
            </w:pPr>
            <w:r>
              <w:rPr>
                <w:rFonts w:ascii="Calibri" w:hAnsi="Calibri"/>
                <w:b w:val="0"/>
                <w:i w:val="0"/>
                <w:color w:val="222222"/>
                <w:sz w:val="19"/>
              </w:rPr>
              <w:t>2. The competent authorities may delegate the task referred to in point (ba).</w:t>
            </w:r>
          </w:p>
          <w:p>
            <w:pPr>
              <w:spacing w:after="0" w:before="140"/>
              <w:ind w:right="80" w:left="80" w:firstLine="0"/>
            </w:pPr>
            <w:r>
              <w:rPr>
                <w:rFonts w:ascii="Calibri" w:hAnsi="Calibri"/>
                <w:b w:val="0"/>
                <w:i w:val="0"/>
                <w:color w:val="222222"/>
                <w:sz w:val="19"/>
              </w:rPr>
              <w:t>3. A European Union Reference Centre for Animal Welfare designated in accordance with Article 95 of Regulation (EU) 2017/625 may develop models of training materials and recommendations for the providers of training courses referred to in paragraph 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9.º, as autoridades competentes são responsáveis por:</w:t>
            </w:r>
          </w:p>
          <w:p>
            <w:pPr>
              <w:spacing w:after="0" w:before="100"/>
              <w:ind w:right="80" w:left="360" w:hanging="280"/>
            </w:pPr>
            <w:r>
              <w:rPr>
                <w:rFonts w:ascii="Calibri" w:hAnsi="Calibri"/>
                <w:b w:val="0"/>
                <w:i/>
                <w:color w:val="222222"/>
                <w:sz w:val="19"/>
              </w:rPr>
              <w:t>a) Assegurar que existem cursos de formação disponíveis para cuidadores de animais;</w:t>
            </w:r>
          </w:p>
          <w:p>
            <w:pPr>
              <w:spacing w:after="0" w:before="10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9.º, parágrafo 3;</w:t>
            </w:r>
          </w:p>
          <w:p>
            <w:pPr>
              <w:spacing w:after="0" w:before="140"/>
              <w:ind w:right="80" w:left="80" w:firstLine="0"/>
            </w:pPr>
            <w:r>
              <w:rPr>
                <w:rFonts w:ascii="Calibri" w:hAnsi="Calibri"/>
                <w:b w:val="0"/>
                <w:i/>
                <w:color w:val="222222"/>
                <w:sz w:val="19"/>
              </w:rPr>
              <w:t>ba) Certificar os cuidadores de animais que completaram com sucesso os cursos de formação referidos na alínea a).</w:t>
            </w:r>
          </w:p>
          <w:p>
            <w:pPr>
              <w:spacing w:after="0" w:before="140"/>
              <w:ind w:right="80" w:left="80" w:firstLine="0"/>
            </w:pPr>
            <w:r>
              <w:rPr>
                <w:rFonts w:ascii="Calibri" w:hAnsi="Calibri"/>
                <w:b w:val="0"/>
                <w:i/>
                <w:color w:val="222222"/>
                <w:sz w:val="19"/>
              </w:rPr>
              <w:t>2. As autoridades competentes podem delegar a tarefa referida na alínea ba).</w:t>
            </w:r>
          </w:p>
          <w:p>
            <w:pPr>
              <w:spacing w:after="0" w:before="14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só pode ser ministrado por treinador possuidor do respetivo título profissional.</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O requerente deve: ter habilitação mínima 12.º ano; apresentar certificado criminal; ser detentor do certificado de qualificações.</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Emitido por entidade certificadora após aprovação em provas teóricas e práticas, demonstrando habilitação técnica com base em métodos de reforço positivo.</w:t>
            </w:r>
          </w:p>
          <w:p>
            <w:pPr>
              <w:spacing w:after="0" w:before="20"/>
              <w:ind w:right="80" w:left="80" w:firstLine="0"/>
            </w:pPr>
            <w:r>
              <w:rPr>
                <w:rFonts w:ascii="Calibri" w:hAnsi="Calibri"/>
                <w:b w:val="0"/>
                <w:i w:val="0"/>
                <w:color w:val="222222"/>
                <w:sz w:val="19"/>
              </w:rPr>
              <w:t>2 - Provas incidem sobre comportamento animal, metodologia de treino, aprendizagem e extinção de comportamentos.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52.º do Código do Animal (DL 214/2013)</w:t>
            </w:r>
          </w:p>
          <w:p>
            <w:pPr>
              <w:spacing w:after="0" w:before="140"/>
              <w:ind w:right="80" w:left="80" w:firstLine="0"/>
            </w:pPr>
            <w:r>
              <w:rPr>
                <w:rFonts w:ascii="Calibri" w:hAnsi="Calibri"/>
                <w:b/>
                <w:i w:val="0"/>
                <w:color w:val="333333"/>
                <w:sz w:val="18"/>
              </w:rPr>
              <w:t>Artigo 51.º - Exercício de profissões relacionadas com cães</w:t>
            </w:r>
          </w:p>
          <w:p>
            <w:pPr>
              <w:spacing w:after="0" w:before="20"/>
              <w:ind w:right="80" w:left="80" w:firstLine="0"/>
            </w:pPr>
            <w:r>
              <w:rPr>
                <w:rFonts w:ascii="Calibri" w:hAnsi="Calibri"/>
                <w:b w:val="0"/>
                <w:i w:val="0"/>
                <w:color w:val="222222"/>
                <w:sz w:val="19"/>
              </w:rPr>
              <w:t>O exercício de certas profissões (adestrador, criador) requer documentação específica e conformidade com normas de bem-estar animal.</w:t>
            </w:r>
          </w:p>
          <w:p>
            <w:pPr>
              <w:spacing w:after="0" w:before="200"/>
              <w:ind w:right="80" w:left="80" w:firstLine="0"/>
            </w:pPr>
            <w:r>
              <w:rPr>
                <w:rFonts w:ascii="Calibri" w:hAnsi="Calibri"/>
                <w:b/>
                <w:i w:val="0"/>
                <w:color w:val="333333"/>
                <w:sz w:val="18"/>
              </w:rPr>
              <w:t>Artigo 52.º - Documentação necessária</w:t>
            </w:r>
          </w:p>
          <w:p>
            <w:pPr>
              <w:spacing w:after="0" w:before="20"/>
              <w:ind w:right="80" w:left="80" w:firstLine="0"/>
            </w:pPr>
            <w:r>
              <w:rPr>
                <w:rFonts w:ascii="Calibri" w:hAnsi="Calibri"/>
                <w:b w:val="0"/>
                <w:i w:val="0"/>
                <w:color w:val="222222"/>
                <w:sz w:val="19"/>
              </w:rPr>
              <w:t>Requerimentos de certificação e qualificação profissional para operadores.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 Normas de profissionalismo</w:t>
            </w:r>
          </w:p>
          <w:p>
            <w:pPr>
              <w:spacing w:after="0" w:before="140"/>
              <w:ind w:right="80" w:left="80" w:firstLine="0"/>
            </w:pPr>
            <w:r>
              <w:rPr>
                <w:rFonts w:ascii="Calibri" w:hAnsi="Calibri"/>
                <w:b w:val="0"/>
                <w:i w:val="0"/>
                <w:color w:val="222222"/>
                <w:sz w:val="19"/>
              </w:rPr>
              <w:t>Legislação portuguesa estabelece normas de profissionalismo e qualificação para operadores em bem-estar animal, com requisitos de formação e certificação conforme disposições de Decreto-Lei específico.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(certificação profissional, provas teóricas e práticas, métodos positivos)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(profissionalismo, qualificações obrigatórias)</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118-120 implementam sistema profissional com certificação)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do Artigo 18. O RGBEAC (Arts. 118-120) estabelece um sistema robusto de certificação profissional para treinadores de cães com: título profissional obrigatório, requisitos de habilitação, provas teóricas e práticas, métodos baseados em reforço positivo, verificação de antecedentes criminais. Sistema já em vigor conforme Decreto-Lei.</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profissional português já implementado - cobertura completa e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 on dogs and cats  ·  Art.º 19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17(1) and (2) and Article 21(4) and the second subparagraph of Article 21(4a).</w:t>
            </w:r>
          </w:p>
          <w:p>
            <w:pPr>
              <w:spacing w:after="0" w:before="140"/>
              <w:ind w:right="80" w:left="80" w:firstLine="0"/>
            </w:pPr>
            <w:r>
              <w:rPr>
                <w:rFonts w:ascii="Calibri" w:hAnsi="Calibri"/>
                <w:b w:val="0"/>
                <w:i w:val="0"/>
                <w:color w:val="222222"/>
                <w:sz w:val="19"/>
              </w:rPr>
              <w:t>1a. For that purpose, the Member States may use databases maintained by another Member State, based on appropriate arrangements between those Member States.</w:t>
            </w:r>
          </w:p>
          <w:p>
            <w:pPr>
              <w:spacing w:after="0" w:before="140"/>
              <w:ind w:right="80" w:left="80" w:firstLine="0"/>
            </w:pPr>
            <w:r>
              <w:rPr>
                <w:rFonts w:ascii="Calibri" w:hAnsi="Calibri"/>
                <w:b w:val="0"/>
                <w:i w:val="0"/>
                <w:color w:val="222222"/>
                <w:sz w:val="19"/>
              </w:rPr>
              <w:t>2. Member States shall ensure that their databases as referred to in paragraph 1 comply with the requirements laid down by the implementing act referred to in point (b) of paragraph 3 to ensure their interoperability so that the identification of a dog or a cat can be authenticated and traced across the Union.</w:t>
            </w:r>
          </w:p>
          <w:p>
            <w:pPr>
              <w:spacing w:after="0" w:before="140"/>
              <w:ind w:right="80" w:left="80" w:firstLine="0"/>
            </w:pPr>
            <w:r>
              <w:rPr>
                <w:rFonts w:ascii="Calibri" w:hAnsi="Calibri"/>
                <w:b w:val="0"/>
                <w:i w:val="0"/>
                <w:color w:val="222222"/>
                <w:sz w:val="19"/>
              </w:rPr>
              <w:t>2a. The Commission shall establish and maintain an index database containing the minimum set of fields defined under article 19(3)(b). The Commission may entrust the development, maintenance and operation of this index database to an independent entity, following a public selection process.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os artigos 17.º (parágrafos 1 e 2) e 21.º (parágrafo 4 e segundo parágrafo do parágrafo 4a).</w:t>
            </w:r>
          </w:p>
          <w:p>
            <w:pPr>
              <w:spacing w:after="0" w:before="140"/>
              <w:ind w:right="80" w:left="80" w:firstLine="0"/>
            </w:pPr>
            <w:r>
              <w:rPr>
                <w:rFonts w:ascii="Calibri" w:hAnsi="Calibri"/>
                <w:b w:val="0"/>
                <w:i/>
                <w:color w:val="222222"/>
                <w:sz w:val="19"/>
              </w:rPr>
              <w:t>1a. Para este efeito, os Estados-Membros podem utilizar bases de dados mantidas por outro Estado-Membro, com base em acordos apropriados entre esses Estados-Membros.</w:t>
            </w:r>
          </w:p>
          <w:p>
            <w:pPr>
              <w:spacing w:after="0" w:before="140"/>
              <w:ind w:right="80" w:left="80" w:firstLine="0"/>
            </w:pPr>
            <w:r>
              <w:rPr>
                <w:rFonts w:ascii="Calibri" w:hAnsi="Calibri"/>
                <w:b w:val="0"/>
                <w:i/>
                <w:color w:val="222222"/>
                <w:sz w:val="19"/>
              </w:rPr>
              <w:t>2. Os Estados-Membros asseguram que as suas bases de dados referidas no parágrafo 1 estão em conformidade com os requisitos estabelecidos pelo ato de execução referido no parágrafo 3, alínea b), de modo a assegurar a sua interoperabilidade, permitindo que a identificação de um cão ou gato possa ser autenticada e rastreada em toda a União.</w:t>
            </w:r>
          </w:p>
          <w:p>
            <w:pPr>
              <w:spacing w:after="0" w:before="140"/>
              <w:ind w:right="80" w:left="80" w:firstLine="0"/>
            </w:pPr>
            <w:r>
              <w:rPr>
                <w:rFonts w:ascii="Calibri" w:hAnsi="Calibri"/>
                <w:b w:val="0"/>
                <w:i/>
                <w:color w:val="222222"/>
                <w:sz w:val="19"/>
              </w:rPr>
              <w:t>2a. A Comissão estabelece e mantém uma base de dados de índice contendo o conjunto mínimo de campos definido no parágrafo 3, alínea b). A Comissão pode confiar o desenvolvimento, manutenção e funcionamento dessa base de dados de índice a uma entidade independente, após um processo de seleção pública.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140"/>
              <w:ind w:right="80" w:left="80" w:firstLine="0"/>
            </w:pPr>
            <w:r>
              <w:rPr>
                <w:rFonts w:ascii="Calibri" w:hAnsi="Calibri"/>
                <w:b w:val="0"/>
                <w:i w:val="0"/>
                <w:color w:val="222222"/>
                <w:sz w:val="19"/>
              </w:rPr>
              <w:t>2 – A DGAV é a entidade responsável pelo SIAC, competindo-lhe assegurar o seu funcionamento e o tratamento seguro da informação.</w:t>
            </w:r>
          </w:p>
          <w:p>
            <w:pPr>
              <w:spacing w:after="0" w:before="140"/>
              <w:ind w:right="80" w:left="80" w:firstLine="0"/>
            </w:pPr>
            <w:r>
              <w:rPr>
                <w:rFonts w:ascii="Calibri" w:hAnsi="Calibri"/>
                <w:b w:val="0"/>
                <w:i w:val="0"/>
                <w:color w:val="222222"/>
                <w:sz w:val="19"/>
              </w:rPr>
              <w:t>3 – A DGAV pode atribuir a gestão do SIAC a outras entidades, mediante a celebração de protocolo e parecer prévio da Comissão Nacional de Proteção de Dados.</w:t>
            </w:r>
          </w:p>
          <w:p>
            <w:pPr>
              <w:spacing w:after="0" w:before="140"/>
              <w:ind w:right="80" w:left="80" w:firstLine="0"/>
            </w:pPr>
            <w:r>
              <w:rPr>
                <w:rFonts w:ascii="Calibri" w:hAnsi="Calibri"/>
                <w:b w:val="0"/>
                <w:i w:val="0"/>
                <w:color w:val="222222"/>
                <w:sz w:val="19"/>
              </w:rPr>
              <w:t>4 -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totalmente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SIAC em funcionamento desde 2019 cumpre todos os requisitos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Código do Animal estabelece estrutura completa com classificações</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RGBEAC (Art. 20.º) reafirma e fortalece o sistema SIAC</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COMPLETAMENTE os requisitos do Artigo 19. O SIAC (Sistema de Informação de Animais de Companhia) já está operacional desde 2019, sob responsabilidade de DGAV, com: identificação eletrónica via microchip obrigatória, registo nacional centralizado, rastreabilidade garantida,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SIAC totalmente operacional e conforme - Interoperabilidade EU pendente de implementação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20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set out in Annex III.</w:t>
            </w:r>
          </w:p>
          <w:p>
            <w:pPr>
              <w:spacing w:after="0" w:before="140"/>
              <w:ind w:right="80" w:left="80" w:firstLine="0"/>
            </w:pPr>
            <w:r>
              <w:rPr>
                <w:rFonts w:ascii="Calibri" w:hAnsi="Calibri"/>
                <w:b w:val="0"/>
                <w:i w:val="0"/>
                <w:color w:val="222222"/>
                <w:sz w:val="19"/>
              </w:rPr>
              <w:t>2. The competent authorities shall draw up and transmit to the Commission a report in electronic form, on the data set out in Annex III, by 31 August every 3 years starting from [6 years from the date of entry into force of this Regulation], summarising the data gathered for the previous 3 years.</w:t>
            </w:r>
          </w:p>
          <w:p>
            <w:pPr>
              <w:spacing w:after="0" w:before="140"/>
              <w:ind w:right="80" w:left="80" w:firstLine="0"/>
            </w:pPr>
            <w:r>
              <w:rPr>
                <w:rFonts w:ascii="Calibri" w:hAnsi="Calibri"/>
                <w:b w:val="0"/>
                <w:i w:val="0"/>
                <w:color w:val="222222"/>
                <w:sz w:val="19"/>
              </w:rPr>
              <w:t>3. The Commission may, by means of implementing acts, establish a harmonised methodology for collecting the data set out in Annex III and establish a template for the report referred to in paragraph 2 of this Article. Those implementing acts shall be adopted in accordance with the examination procedure referred to in Article 24.</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RGBEAC (proposta, jun. 2025)</w:t>
            </w:r>
          </w:p>
          <w:p>
            <w:pPr>
              <w:spacing w:after="0" w:before="14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Os centros de bem-estar animal e alojamentos remetem à DGAV no primeiro mês de cada ano civil, os relatórios de gestão do ano anterior, com números de animais recolhidos, restituídos, eutanasiados, cedidos, adotados, devolvidos após adoção, vacinados, esterilizados e intervencionados em programas CED.</w:t>
            </w:r>
          </w:p>
          <w:p>
            <w:pPr>
              <w:spacing w:after="0" w:before="140"/>
              <w:ind w:right="80" w:left="80" w:firstLine="0"/>
            </w:pPr>
            <w:r>
              <w:rPr>
                <w:rFonts w:ascii="Calibri" w:hAnsi="Calibri"/>
                <w:b w:val="0"/>
                <w:i w:val="0"/>
                <w:color w:val="222222"/>
                <w:sz w:val="19"/>
              </w:rPr>
              <w:t>2 – A DGVA consolida a informação a nível nacional sobre bem-estar animal em cada ano, incluindo: acompanhamento da política internacional, prestação de apoios públicos, atividade do SIAC, resultados de planos de controlo, processos contraordenacionais, coimas aplicadas, atividade de centros de bem-estar, programas de interesse nacional, ações informativas e educativas, para efeitos de elaboração do Relatório Anual sobre a situação do Bem-Estar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141.º-145.º do Código do Animal (DL 214/2013)</w:t>
            </w:r>
          </w:p>
          <w:p>
            <w:pPr>
              <w:spacing w:after="0" w:before="140"/>
              <w:ind w:right="80" w:left="80" w:firstLine="0"/>
            </w:pPr>
            <w:r>
              <w:rPr>
                <w:rFonts w:ascii="Calibri" w:hAnsi="Calibri"/>
                <w:b w:val="0"/>
                <w:i w:val="0"/>
                <w:color w:val="222222"/>
                <w:sz w:val="19"/>
              </w:rPr>
              <w:t>Código do Animal estabelece estrutura de monitorização e relatórios sobre bem-estar animal, incluindo: recolha de dados de infrações, aplicação de sanções, atividades de centros de recolha, estatísticas de animais processados. Sistema de contraordenações com documentação e coimas registadas.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 DL 82/2019</w:t>
            </w:r>
          </w:p>
          <w:p>
            <w:pPr>
              <w:spacing w:after="0" w:before="140"/>
              <w:ind w:right="80" w:left="80" w:firstLine="0"/>
            </w:pPr>
            <w:r>
              <w:rPr>
                <w:rFonts w:ascii="Calibri" w:hAnsi="Calibri"/>
                <w:b w:val="0"/>
                <w:i w:val="0"/>
                <w:color w:val="222222"/>
                <w:sz w:val="19"/>
              </w:rPr>
              <w:t>Decreto-Regulamentar 3/2021 (Art. 3.º) requer Relatório Anual sobre situação do Bem-Estar Animal. DL 82/2019 estabelece procedimentos de recolha de dados, monitorização, registo de atividades médico-veterinárias e compilação de informação de bem-estar animal para fins de relatório anual e transmissão a autoridades europeias.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(relatórios anuais, recolha de dados, consolidação nacional)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(monitorização, infrações, sanções, estatísticas)</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 46.º estabelece sistema de relatórios nacionais)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A legislação portuguesa implementa COMPLETAMENTE o Artigo 20. Sistema já estabelecido com: recolha anual de dados de centros de bem-estar animal, consolidação de informação de bem-estar a nível nacional, inclusão de estatísticas de SIAC, registos de contraordenações e sanções, relatórios sobre atividades de proteção animal, conformidade com requisitos de Decreto-Regulamentar 3/2021. Único ajuste 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de relatórios já operacional - apenas alinhamento com padrões EU necessário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competent authorities of the Member States shall be controllers within the meaning of Regulation (EU) 2016/679 in relation to the processing of personal data collected under Article 7, Article 7a of this Regulation as well as under Article 19(1)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17a (6), Article 19 (2a) and the third subparagraph of Article 21(4a) of this Regulation, as well as under Article 19(1) of this Regulation when used for the purposes of compliance with Article 108 of Regulation (EU) 2017/625 and of reporting obligations under this Regulation.</w:t>
            </w:r>
          </w:p>
          <w:p>
            <w:pPr>
              <w:spacing w:after="0" w:before="140"/>
              <w:ind w:right="80" w:left="80" w:firstLine="0"/>
            </w:pPr>
            <w:r>
              <w:rPr>
                <w:rFonts w:ascii="Calibri" w:hAnsi="Calibri"/>
                <w:b w:val="0"/>
                <w:i w:val="0"/>
                <w:color w:val="222222"/>
                <w:sz w:val="19"/>
              </w:rPr>
              <w:t>It shall be prohibited for any person having access to the personal data referred to in the first and second sub-paragraphs to divulge any personal data, the knowledge of which was acquired in the exercise of their duties or otherwise incidentally to such exercise.</w:t>
            </w:r>
          </w:p>
          <w:p>
            <w:pPr>
              <w:spacing w:after="0" w:before="140"/>
              <w:ind w:right="80" w:left="80" w:firstLine="0"/>
            </w:pPr>
            <w:r>
              <w:rPr>
                <w:rFonts w:ascii="Calibri" w:hAnsi="Calibri"/>
                <w:b w:val="0"/>
                <w:i w:val="0"/>
                <w:color w:val="222222"/>
                <w:sz w:val="19"/>
              </w:rPr>
              <w:t>Member States and the Commission shall take all appropriate measures to address infringements of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other purposes than:</w:t>
            </w:r>
          </w:p>
          <w:p>
            <w:pPr>
              <w:spacing w:after="0" w:before="100"/>
              <w:ind w:right="80" w:left="360" w:hanging="280"/>
            </w:pPr>
            <w:r>
              <w:rPr>
                <w:rFonts w:ascii="Calibri" w:hAnsi="Calibri"/>
                <w:b w:val="0"/>
                <w:i w:val="0"/>
                <w:color w:val="222222"/>
                <w:sz w:val="19"/>
              </w:rPr>
              <w:t>a) official controls by Member States competent authorities of the compliance with the welfare and traceability requirements under this regulation and compliance with Regulation (EU) 2016/429, including and detection of fraudulent practices, and</w:t>
            </w:r>
          </w:p>
          <w:p>
            <w:pPr>
              <w:spacing w:after="0" w:before="100"/>
              <w:ind w:right="80" w:left="360" w:hanging="280"/>
            </w:pPr>
            <w:r>
              <w:rPr>
                <w:rFonts w:ascii="Calibri" w:hAnsi="Calibri"/>
                <w:b w:val="0"/>
                <w:i w:val="0"/>
                <w:color w:val="222222"/>
                <w:sz w:val="19"/>
              </w:rPr>
              <w:t>b) compliance by the Commission of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 in the case of Article 7 and Article 7a, 10 years after the date of cessation of the activity of the establishment;</w:t>
            </w:r>
          </w:p>
          <w:p>
            <w:pPr>
              <w:spacing w:after="0" w:before="100"/>
              <w:ind w:right="80" w:left="360" w:hanging="280"/>
            </w:pPr>
            <w:r>
              <w:rPr>
                <w:rFonts w:ascii="Calibri" w:hAnsi="Calibri"/>
                <w:b w:val="0"/>
                <w:i w:val="0"/>
                <w:color w:val="222222"/>
                <w:sz w:val="19"/>
              </w:rPr>
              <w:t>b) in the case of Article 17a(6), 18 months after the generation of the token referred to in Article 17a(3)(c).</w:t>
            </w:r>
          </w:p>
          <w:p>
            <w:pPr>
              <w:spacing w:after="0" w:before="100"/>
              <w:ind w:right="80" w:left="360" w:hanging="280"/>
            </w:pPr>
            <w:r>
              <w:rPr>
                <w:rFonts w:ascii="Calibri" w:hAnsi="Calibri"/>
                <w:b w:val="0"/>
                <w:i w:val="0"/>
                <w:color w:val="222222"/>
                <w:sz w:val="19"/>
              </w:rPr>
              <w:t>c) in case of Article 19(1), and Article 19(2a), 25 years after the first registration of the dog or cat in the database referred to in that Article or 5 years after the recording of the death of the dog or cat in that database;</w:t>
            </w:r>
          </w:p>
          <w:p>
            <w:pPr>
              <w:spacing w:after="0" w:before="100"/>
              <w:ind w:right="80" w:left="360" w:hanging="280"/>
            </w:pPr>
            <w:r>
              <w:rPr>
                <w:rFonts w:ascii="Calibri" w:hAnsi="Calibri"/>
                <w:b w:val="0"/>
                <w:i w:val="0"/>
                <w:color w:val="222222"/>
                <w:sz w:val="19"/>
              </w:rPr>
              <w:t>d) in case of the third subparagraph of Article 21(4a),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pPr>
              <w:spacing w:after="0" w:before="140"/>
              <w:ind w:right="80" w:left="80" w:firstLine="0"/>
            </w:pPr>
            <w:r>
              <w:rPr>
                <w:rFonts w:ascii="Calibri" w:hAnsi="Calibri"/>
                <w:b w:val="0"/>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Fica proibido a qualquer pessoa com acesso aos dados pessoais mencionados no primeiro e segundo parágrafos divulgar quaisquer dados pessoais, cuja notícia foi adquirida no exercício das suas funções ou de forma incidental a tal exercício.</w:t>
            </w:r>
          </w:p>
          <w:p>
            <w:pPr>
              <w:spacing w:after="0" w:before="140"/>
              <w:ind w:right="80" w:left="80" w:firstLine="0"/>
            </w:pPr>
            <w:r>
              <w:rPr>
                <w:rFonts w:ascii="Calibri" w:hAnsi="Calibri"/>
                <w:b w:val="0"/>
                <w:i/>
                <w:color w:val="222222"/>
                <w:sz w:val="19"/>
              </w:rPr>
              <w:t>Os Estados-Membros e a Comissão devem adotar todas as medidas apropriadas para fazer face aos incumprimentos dessa proibição.</w:t>
            </w:r>
          </w:p>
          <w:p>
            <w:pPr>
              <w:spacing w:after="0" w:before="140"/>
              <w:ind w:right="80" w:left="80" w:firstLine="0"/>
            </w:pPr>
            <w:r>
              <w:rPr>
                <w:rFonts w:ascii="Calibri" w:hAnsi="Calibri"/>
                <w:b w:val="0"/>
                <w:i/>
                <w:color w:val="222222"/>
                <w:sz w:val="19"/>
              </w:rPr>
              <w:t>[... redução para brevidade - ver regulamento completo para texto integral]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Legislação portuguesa cobre completamente com incorporação de GDPR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Cobertura expressa em Art. 55.º</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Implementação completa em Arts. 20.º</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Dogs and cats may only be entered into the Union for placing on the Union market provided that the following conditions are met:</w:t>
            </w:r>
          </w:p>
          <w:p>
            <w:pPr>
              <w:spacing w:after="0" w:before="100"/>
              <w:ind w:right="80" w:left="360" w:hanging="280"/>
            </w:pPr>
            <w:r>
              <w:rPr>
                <w:rFonts w:ascii="Calibri" w:hAnsi="Calibri"/>
                <w:b w:val="0"/>
                <w:i w:val="0"/>
                <w:color w:val="222222"/>
                <w:sz w:val="19"/>
              </w:rPr>
              <w:t>a) they have been breed and kept in compliance with any of the following:</w:t>
            </w:r>
          </w:p>
          <w:p>
            <w:pPr>
              <w:spacing w:after="0" w:before="20"/>
              <w:ind w:right="80" w:left="360" w:hanging="280"/>
            </w:pPr>
            <w:r>
              <w:rPr>
                <w:rFonts w:ascii="Calibri" w:hAnsi="Calibri"/>
                <w:b w:val="0"/>
                <w:i w:val="0"/>
                <w:color w:val="222222"/>
                <w:sz w:val="19"/>
              </w:rPr>
              <w:t>i) Chapter II of this Regulation;</w:t>
            </w:r>
          </w:p>
          <w:p>
            <w:pPr>
              <w:spacing w:after="0" w:before="20"/>
              <w:ind w:right="80" w:left="80" w:firstLine="0"/>
            </w:pPr>
            <w:r>
              <w:rPr>
                <w:rFonts w:ascii="Calibri" w:hAnsi="Calibri"/>
                <w:b w:val="0"/>
                <w:i w:val="0"/>
                <w:color w:val="222222"/>
                <w:sz w:val="19"/>
              </w:rPr>
              <w:t>ii) conditions recognised by the Union in accordance with Article 129 of Regulation (EU) 2017/625 to be equivalent to those set out by Chapter II of this Regulation; or</w:t>
            </w:r>
          </w:p>
          <w:p>
            <w:pPr>
              <w:spacing w:after="0" w:before="20"/>
              <w:ind w:right="80" w:left="80" w:firstLine="0"/>
            </w:pPr>
            <w:r>
              <w:rPr>
                <w:rFonts w:ascii="Calibri" w:hAnsi="Calibri"/>
                <w:b w:val="0"/>
                <w:i w:val="0"/>
                <w:color w:val="222222"/>
                <w:sz w:val="19"/>
              </w:rPr>
              <w:t>iii) 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 they come from a third country or territory and an establishment listed in accordance with Articles 126 and 127 of Regulation (EU) 2017/625.</w:t>
            </w:r>
          </w:p>
          <w:p>
            <w:pPr>
              <w:spacing w:after="0" w:before="140"/>
              <w:ind w:right="80" w:left="80" w:firstLine="0"/>
            </w:pPr>
            <w:r>
              <w:rPr>
                <w:rFonts w:ascii="Calibri" w:hAnsi="Calibri"/>
                <w:b w:val="0"/>
                <w:i w:val="0"/>
                <w:color w:val="222222"/>
                <w:sz w:val="19"/>
              </w:rPr>
              <w:t>2. The official certificate referred to in Article 126(2)(c) of Regulation (EU) 2017/625 accompanying dogs and cats entering into the Union from third countries and territories to be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 Dogs and cats entering into the Union to be placed on the Union market shall be identified before their entry by a veterinarian by means of an injectable transponder containing a readable microchip compliant with Annex II.</w:t>
            </w:r>
          </w:p>
          <w:p>
            <w:pPr>
              <w:spacing w:after="0" w:before="140"/>
              <w:ind w:right="80" w:left="80" w:firstLine="0"/>
            </w:pPr>
            <w:r>
              <w:rPr>
                <w:rFonts w:ascii="Calibri" w:hAnsi="Calibri"/>
                <w:b w:val="0"/>
                <w:i w:val="0"/>
                <w:color w:val="222222"/>
                <w:sz w:val="19"/>
              </w:rPr>
              <w:t>4. The operator responsible for the import of dogs or cats entering into the Union shall ensure the registration of the dogs or cats by a veterinarian into a national database referred to in Article 19(1), within 5 working days after their entry into the Union.</w:t>
            </w:r>
          </w:p>
          <w:p>
            <w:pPr>
              <w:spacing w:after="0" w:before="140"/>
              <w:ind w:right="80" w:left="80" w:firstLine="0"/>
            </w:pPr>
            <w:r>
              <w:rPr>
                <w:rFonts w:ascii="Calibri" w:hAnsi="Calibri"/>
                <w:b w:val="0"/>
                <w:i w:val="0"/>
                <w:color w:val="222222"/>
                <w:sz w:val="19"/>
              </w:rPr>
              <w:t>[... ver regulamento completo para restantes parágrafos 4a e 5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cães e os gatos podem ser introduzidos na União apenas para colocação no mercado da União se estiverem satisfeitas as seguintes condições:</w:t>
            </w:r>
          </w:p>
          <w:p>
            <w:pPr>
              <w:spacing w:after="0" w:before="100"/>
              <w:ind w:right="80" w:left="360" w:hanging="280"/>
            </w:pPr>
            <w:r>
              <w:rPr>
                <w:rFonts w:ascii="Calibri" w:hAnsi="Calibri"/>
                <w:b w:val="0"/>
                <w:i/>
                <w:color w:val="222222"/>
                <w:sz w:val="19"/>
              </w:rPr>
              <w:t>a) Tenham sido criados e mantidos em conformidade com qualquer das seguintes situações:</w:t>
            </w:r>
          </w:p>
          <w:p>
            <w:pPr>
              <w:spacing w:after="0" w:before="20"/>
              <w:ind w:right="80" w:left="360" w:hanging="280"/>
            </w:pPr>
            <w:r>
              <w:rPr>
                <w:rFonts w:ascii="Calibri" w:hAnsi="Calibri"/>
                <w:b w:val="0"/>
                <w:i/>
                <w:color w:val="222222"/>
                <w:sz w:val="19"/>
              </w:rPr>
              <w:t>i) Capítulo II do presente Regulamento;</w:t>
            </w:r>
          </w:p>
          <w:p>
            <w:pPr>
              <w:spacing w:after="0" w:before="20"/>
              <w:ind w:right="80" w:left="80" w:firstLine="0"/>
            </w:pPr>
            <w:r>
              <w:rPr>
                <w:rFonts w:ascii="Calibri" w:hAnsi="Calibri"/>
                <w:b w:val="0"/>
                <w:i/>
                <w:color w:val="222222"/>
                <w:sz w:val="19"/>
              </w:rPr>
              <w:t>ii) Condições reconhecidas pela União em conformidade com o artigo 129.º do Regulamento (UE) 2017/625 como equivalentes às estabelecidas no Capítulo II do presente Regulamento; ou</w:t>
            </w:r>
          </w:p>
          <w:p>
            <w:pPr>
              <w:spacing w:after="0" w:before="20"/>
              <w:ind w:right="80" w:left="80" w:firstLine="0"/>
            </w:pPr>
            <w:r>
              <w:rPr>
                <w:rFonts w:ascii="Calibri" w:hAnsi="Calibri"/>
                <w:b w:val="0"/>
                <w:i/>
                <w:color w:val="222222"/>
                <w:sz w:val="19"/>
              </w:rPr>
              <w:t>iii) Quando aplicável, requisitos contidos num acordo específico entre a União e o país exportador.</w:t>
            </w:r>
          </w:p>
          <w:p>
            <w:pPr>
              <w:spacing w:after="0" w:before="100"/>
              <w:ind w:right="80" w:left="360" w:hanging="280"/>
            </w:pPr>
            <w:r>
              <w:rPr>
                <w:rFonts w:ascii="Calibri" w:hAnsi="Calibri"/>
                <w:b w:val="0"/>
                <w:i/>
                <w:color w:val="222222"/>
                <w:sz w:val="19"/>
              </w:rPr>
              <w:t>b) Provenham de um país terceiro ou território e de um estabelecimento listado em conformidade com os artigos 126.º e 127.º do Regulamento (UE) 2017/625.</w:t>
            </w:r>
          </w:p>
          <w:p>
            <w:pPr>
              <w:spacing w:after="0" w:before="140"/>
              <w:ind w:right="80" w:left="80" w:firstLine="0"/>
            </w:pPr>
            <w:r>
              <w:rPr>
                <w:rFonts w:ascii="Calibri" w:hAnsi="Calibri"/>
                <w:b w:val="0"/>
                <w:i/>
                <w:color w:val="222222"/>
                <w:sz w:val="19"/>
              </w:rPr>
              <w:t>2. O certificado oficial referido no artigo 126.º, parágrafo 2, alínea c), do Regulamento (UE) 2017/625 que acompanha os cães e gatos que entram na União desde países terceiros e territórios para colocação no mercado da União deve conter uma atestação certificando a conformidade com o parágrafo 1 do presente artigo.</w:t>
            </w:r>
          </w:p>
          <w:p>
            <w:pPr>
              <w:spacing w:after="0" w:before="140"/>
              <w:ind w:right="80" w:left="80" w:firstLine="0"/>
            </w:pPr>
            <w:r>
              <w:rPr>
                <w:rFonts w:ascii="Calibri" w:hAnsi="Calibri"/>
                <w:b w:val="0"/>
                <w:i/>
                <w:color w:val="222222"/>
                <w:sz w:val="19"/>
              </w:rPr>
              <w:t>3. Os cães e gatos que entram na União para colocação no mercado da União devem ser identificados antes da sua entrada por um médico veterinário através de um transponder injetável contendo um microchip legível em conformidade com o Anexo II.</w:t>
            </w:r>
          </w:p>
          <w:p>
            <w:pPr>
              <w:spacing w:after="0" w:before="140"/>
              <w:ind w:right="80" w:left="80" w:firstLine="0"/>
            </w:pPr>
            <w:r>
              <w:rPr>
                <w:rFonts w:ascii="Calibri" w:hAnsi="Calibri"/>
                <w:b w:val="0"/>
                <w:i/>
                <w:color w:val="222222"/>
                <w:sz w:val="19"/>
              </w:rPr>
              <w:t>4. O operador responsável pela importação de cães ou gatos que entram na União deve assegurar o registo dos cães ou gatos por um médico veterinário numa base de dados nacional referida no artigo 19.º, parágrafo 1, no prazo de 5 dias úteis após a sua entrada na União.</w:t>
            </w:r>
          </w:p>
          <w:p>
            <w:pPr>
              <w:spacing w:after="0" w:before="140"/>
              <w:ind w:right="80" w:left="80" w:firstLine="0"/>
            </w:pPr>
            <w:r>
              <w:rPr>
                <w:rFonts w:ascii="Calibri" w:hAnsi="Calibri"/>
                <w:b w:val="0"/>
                <w:i/>
                <w:color w:val="222222"/>
                <w:sz w:val="19"/>
              </w:rPr>
              <w:t>4a. O movimento não-comercial de um cão ou gato desde um país terceiro ou território para a União deve ser pré-notificado pelo seu proprietário numa base de dados online de viajantes da União com animais de estimação, pelo menos 5 dias úteis antes da passagem da fronteira da União, exceto nos seguintes casos:</w:t>
            </w:r>
          </w:p>
          <w:p>
            <w:pPr>
              <w:spacing w:after="0" w:before="20"/>
              <w:ind w:right="80" w:left="680" w:hanging="280"/>
            </w:pPr>
            <w:r>
              <w:rPr>
                <w:rFonts w:ascii="Calibri" w:hAnsi="Calibri"/>
                <w:b w:val="0"/>
                <w:i/>
                <w:color w:val="222222"/>
                <w:sz w:val="19"/>
              </w:rPr>
              <w:t>— cães ou gatos que entram na União diretamente desde países terceiros ou territórios que satisfazem as condições estabelecidas no artigo 17.º, parágrafo 1, alínea a), do Regulamento Delegado (C(2026) 20); e</w:t>
            </w:r>
          </w:p>
          <w:p>
            <w:pPr>
              <w:spacing w:after="0" w:before="20"/>
              <w:ind w:right="80" w:left="680" w:hanging="280"/>
            </w:pPr>
            <w:r>
              <w:rPr>
                <w:rFonts w:ascii="Calibri" w:hAnsi="Calibri"/>
                <w:b w:val="0"/>
                <w:i/>
                <w:color w:val="222222"/>
                <w:sz w:val="19"/>
              </w:rPr>
              <w:t>— cães ou gatos registados numa base de dados de um Estado-Membro referida no artigo 19.º, parágrafo 1.</w:t>
            </w:r>
          </w:p>
          <w:p>
            <w:pPr>
              <w:spacing w:after="0" w:before="140"/>
              <w:ind w:right="80" w:left="80" w:firstLine="0"/>
            </w:pPr>
            <w:r>
              <w:rPr>
                <w:rFonts w:ascii="Calibri" w:hAnsi="Calibri"/>
                <w:b w:val="0"/>
                <w:i/>
                <w:color w:val="222222"/>
                <w:sz w:val="19"/>
              </w:rPr>
              <w:t>Se o cão ou gato permanecer mais de seis meses na União, o proprietário deve assegurar o seu registo por um médico veterinário na base de dados do Estado-Membro de residência referida no artigo 19.º, parágrafo 1, no prazo de 5 dias úteis após o termo do sexto mês. Os Estados-Membros podem permitir o registo por outras pessoas que não médicos veterinários, desde que tenham medidas em vigor para assegurar a exatidão das informações inseridas na base de 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entrada/importação mas sem database online de viajantes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Implementa controlos sanitários e requisitos de identificação</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entrada no território nacional com condições, não cobre movimento não-comercial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Commission is empowered to adopt delegated acts in accordance with Article 23 amending the Annexes to this Regulation to take into account of scientific and technical progress, including, when relevant, scientific opinions of the European Food Safety Authority, as regards:</w:t>
            </w:r>
          </w:p>
          <w:p>
            <w:pPr>
              <w:spacing w:after="0" w:before="100"/>
              <w:ind w:right="80" w:left="360" w:hanging="280"/>
            </w:pPr>
            <w:r>
              <w:rPr>
                <w:rFonts w:ascii="Calibri" w:hAnsi="Calibri"/>
                <w:b w:val="0"/>
                <w:i w:val="0"/>
                <w:color w:val="222222"/>
                <w:sz w:val="19"/>
              </w:rPr>
              <w:t>a) a suitable number of animal caretakers in breeding and selling establishments;</w:t>
            </w:r>
          </w:p>
          <w:p>
            <w:pPr>
              <w:spacing w:after="0" w:before="100"/>
              <w:ind w:right="80" w:left="360" w:hanging="280"/>
            </w:pPr>
            <w:r>
              <w:rPr>
                <w:rFonts w:ascii="Calibri" w:hAnsi="Calibri"/>
                <w:b w:val="0"/>
                <w:i w:val="0"/>
                <w:color w:val="222222"/>
                <w:sz w:val="19"/>
              </w:rPr>
              <w:t>b) watering and feeding requirements and weaning process;</w:t>
            </w:r>
          </w:p>
          <w:p>
            <w:pPr>
              <w:spacing w:after="0" w:before="100"/>
              <w:ind w:right="80" w:left="360" w:hanging="280"/>
            </w:pPr>
            <w:r>
              <w:rPr>
                <w:rFonts w:ascii="Calibri" w:hAnsi="Calibri"/>
                <w:b w:val="0"/>
                <w:i w:val="0"/>
                <w:color w:val="222222"/>
                <w:sz w:val="19"/>
              </w:rPr>
              <w:t>c) temperature ranges;</w:t>
            </w:r>
          </w:p>
          <w:p>
            <w:pPr>
              <w:spacing w:after="0" w:before="100"/>
              <w:ind w:right="80" w:left="360" w:hanging="280"/>
            </w:pPr>
            <w:r>
              <w:rPr>
                <w:rFonts w:ascii="Calibri" w:hAnsi="Calibri"/>
                <w:b w:val="0"/>
                <w:i w:val="0"/>
                <w:color w:val="222222"/>
                <w:sz w:val="19"/>
              </w:rPr>
              <w:t>d) lighting requirements;</w:t>
            </w:r>
          </w:p>
          <w:p>
            <w:pPr>
              <w:spacing w:after="0" w:before="100"/>
              <w:ind w:right="80" w:left="360" w:hanging="280"/>
            </w:pPr>
            <w:r>
              <w:rPr>
                <w:rFonts w:ascii="Calibri" w:hAnsi="Calibri"/>
                <w:b w:val="0"/>
                <w:i w:val="0"/>
                <w:color w:val="222222"/>
                <w:sz w:val="19"/>
              </w:rPr>
              <w:t>e) ammonia and carbon monoxide levels;</w:t>
            </w:r>
          </w:p>
          <w:p>
            <w:pPr>
              <w:spacing w:after="0" w:before="100"/>
              <w:ind w:right="80" w:left="360" w:hanging="280"/>
            </w:pPr>
            <w:r>
              <w:rPr>
                <w:rFonts w:ascii="Calibri" w:hAnsi="Calibri"/>
                <w:b w:val="0"/>
                <w:i w:val="0"/>
                <w:color w:val="222222"/>
                <w:sz w:val="19"/>
              </w:rPr>
              <w:t>f) kennel and cattery design;</w:t>
            </w:r>
          </w:p>
          <w:p>
            <w:pPr>
              <w:spacing w:after="0" w:before="100"/>
              <w:ind w:right="80" w:left="360" w:hanging="280"/>
            </w:pPr>
            <w:r>
              <w:rPr>
                <w:rFonts w:ascii="Calibri" w:hAnsi="Calibri"/>
                <w:b w:val="0"/>
                <w:i w:val="0"/>
                <w:color w:val="222222"/>
                <w:sz w:val="19"/>
              </w:rPr>
              <w:t>g) group housing;</w:t>
            </w:r>
          </w:p>
          <w:p>
            <w:pPr>
              <w:spacing w:after="0" w:before="100"/>
              <w:ind w:right="80" w:left="360" w:hanging="280"/>
            </w:pPr>
            <w:r>
              <w:rPr>
                <w:rFonts w:ascii="Calibri" w:hAnsi="Calibri"/>
                <w:b w:val="0"/>
                <w:i w:val="0"/>
                <w:color w:val="222222"/>
                <w:sz w:val="19"/>
              </w:rPr>
              <w:t>h) space allowances for different categories of dogs and cats;</w:t>
            </w:r>
          </w:p>
          <w:p>
            <w:pPr>
              <w:spacing w:after="0" w:before="100"/>
              <w:ind w:right="80" w:left="360" w:hanging="280"/>
            </w:pPr>
            <w:r>
              <w:rPr>
                <w:rFonts w:ascii="Calibri" w:hAnsi="Calibri"/>
                <w:b w:val="0"/>
                <w:i w:val="0"/>
                <w:color w:val="222222"/>
                <w:sz w:val="19"/>
              </w:rPr>
              <w:t>i) frequency of pregnancies;</w:t>
            </w:r>
          </w:p>
          <w:p>
            <w:pPr>
              <w:spacing w:after="0" w:before="100"/>
              <w:ind w:right="80" w:left="360" w:hanging="280"/>
            </w:pPr>
            <w:r>
              <w:rPr>
                <w:rFonts w:ascii="Calibri" w:hAnsi="Calibri"/>
                <w:b w:val="0"/>
                <w:i w:val="0"/>
                <w:color w:val="222222"/>
                <w:sz w:val="19"/>
              </w:rPr>
              <w:t>j) minimum and maximum age of bitches and queens for breeding;</w:t>
            </w:r>
          </w:p>
          <w:p>
            <w:pPr>
              <w:spacing w:after="0" w:before="100"/>
              <w:ind w:right="80" w:left="360" w:hanging="280"/>
            </w:pPr>
            <w:r>
              <w:rPr>
                <w:rFonts w:ascii="Calibri" w:hAnsi="Calibri"/>
                <w:b w:val="0"/>
                <w:i w:val="0"/>
                <w:color w:val="222222"/>
                <w:sz w:val="19"/>
              </w:rPr>
              <w:t>k) socialisation, enrichment and other measures for meeting behavioural needs of dogs and cats;</w:t>
            </w:r>
          </w:p>
          <w:p>
            <w:pPr>
              <w:spacing w:after="0" w:before="100"/>
              <w:ind w:right="80" w:left="360" w:hanging="280"/>
            </w:pPr>
            <w:r>
              <w:rPr>
                <w:rFonts w:ascii="Calibri" w:hAnsi="Calibri"/>
                <w:b w:val="0"/>
                <w:i w:val="0"/>
                <w:color w:val="222222"/>
                <w:sz w:val="19"/>
              </w:rPr>
              <w:t>l) requirements for transponders used to individually identify dogs and cats;</w:t>
            </w:r>
          </w:p>
          <w:p>
            <w:pPr>
              <w:spacing w:after="0" w:before="100"/>
              <w:ind w:right="80" w:left="360" w:hanging="280"/>
            </w:pPr>
            <w:r>
              <w:rPr>
                <w:rFonts w:ascii="Calibri" w:hAnsi="Calibri"/>
                <w:b w:val="0"/>
                <w:i w:val="0"/>
                <w:color w:val="222222"/>
                <w:sz w:val="19"/>
              </w:rPr>
              <w:t>m) data to be collected for policy monitoring and evaluation.</w:t>
            </w:r>
          </w:p>
          <w:p>
            <w:pPr>
              <w:spacing w:after="0" w:before="140"/>
              <w:ind w:right="80" w:left="80" w:firstLine="0"/>
            </w:pPr>
            <w:r>
              <w:rPr>
                <w:rFonts w:ascii="Calibri" w:hAnsi="Calibri"/>
                <w:b w:val="0"/>
                <w:i w:val="0"/>
                <w:color w:val="222222"/>
                <w:sz w:val="19"/>
              </w:rPr>
              <w:t>2. Any additions of requirements in the Annexes shall be based on updated scientific or technical evidence, in particular regarding the specific conditions needed to ensure the welfare of the dogs and cats covered by the scope of this Regulation. Where relevant, those delegated acts shall take into account social, economic and environmental impacts and provide for sufficient transition periods to allow for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em conformidade com o artigo 23.º que alterem os anexos do presente Regulamento para ter em conta o progresso científico e técnico, incluindo, quando relevante, pareceres científicos da Autoridade Europeia para a Segurança dos Alimentos, nos seguintes aspetos:</w:t>
            </w:r>
          </w:p>
          <w:p>
            <w:pPr>
              <w:spacing w:after="0" w:before="100"/>
              <w:ind w:right="80" w:left="360" w:hanging="280"/>
            </w:pPr>
            <w:r>
              <w:rPr>
                <w:rFonts w:ascii="Calibri" w:hAnsi="Calibri"/>
                <w:b w:val="0"/>
                <w:i/>
                <w:color w:val="222222"/>
                <w:sz w:val="19"/>
              </w:rPr>
              <w:t>a) Um número adequado de cuidadores de animais em estabelecimentos de criação e venda;</w:t>
            </w:r>
          </w:p>
          <w:p>
            <w:pPr>
              <w:spacing w:after="0" w:before="100"/>
              <w:ind w:right="80" w:left="360" w:hanging="280"/>
            </w:pPr>
            <w:r>
              <w:rPr>
                <w:rFonts w:ascii="Calibri" w:hAnsi="Calibri"/>
                <w:b w:val="0"/>
                <w:i/>
                <w:color w:val="222222"/>
                <w:sz w:val="19"/>
              </w:rPr>
              <w:t>b) Requisitos de abastecimento de água e alimentação e processo de desmame;</w:t>
            </w:r>
          </w:p>
          <w:p>
            <w:pPr>
              <w:spacing w:after="0" w:before="100"/>
              <w:ind w:right="80" w:left="360" w:hanging="280"/>
            </w:pPr>
            <w:r>
              <w:rPr>
                <w:rFonts w:ascii="Calibri" w:hAnsi="Calibri"/>
                <w:b w:val="0"/>
                <w:i/>
                <w:color w:val="222222"/>
                <w:sz w:val="19"/>
              </w:rPr>
              <w:t>c) Gamas de temperatura;</w:t>
            </w:r>
          </w:p>
          <w:p>
            <w:pPr>
              <w:spacing w:after="0" w:before="100"/>
              <w:ind w:right="80" w:left="360" w:hanging="280"/>
            </w:pPr>
            <w:r>
              <w:rPr>
                <w:rFonts w:ascii="Calibri" w:hAnsi="Calibri"/>
                <w:b w:val="0"/>
                <w:i/>
                <w:color w:val="222222"/>
                <w:sz w:val="19"/>
              </w:rPr>
              <w:t>d) Requisitos de iluminação;</w:t>
            </w:r>
          </w:p>
          <w:p>
            <w:pPr>
              <w:spacing w:after="0" w:before="100"/>
              <w:ind w:right="80" w:left="360" w:hanging="280"/>
            </w:pPr>
            <w:r>
              <w:rPr>
                <w:rFonts w:ascii="Calibri" w:hAnsi="Calibri"/>
                <w:b w:val="0"/>
                <w:i/>
                <w:color w:val="222222"/>
                <w:sz w:val="19"/>
              </w:rPr>
              <w:t>e) Níveis de amoníaco e monóxido de carbono;</w:t>
            </w:r>
          </w:p>
          <w:p>
            <w:pPr>
              <w:spacing w:after="0" w:before="100"/>
              <w:ind w:right="80" w:left="360" w:hanging="280"/>
            </w:pPr>
            <w:r>
              <w:rPr>
                <w:rFonts w:ascii="Calibri" w:hAnsi="Calibri"/>
                <w:b w:val="0"/>
                <w:i/>
                <w:color w:val="222222"/>
                <w:sz w:val="19"/>
              </w:rPr>
              <w:t>f) Conceção de canis e gateis;</w:t>
            </w:r>
          </w:p>
          <w:p>
            <w:pPr>
              <w:spacing w:after="0" w:before="100"/>
              <w:ind w:right="80" w:left="360" w:hanging="280"/>
            </w:pPr>
            <w:r>
              <w:rPr>
                <w:rFonts w:ascii="Calibri" w:hAnsi="Calibri"/>
                <w:b w:val="0"/>
                <w:i/>
                <w:color w:val="222222"/>
                <w:sz w:val="19"/>
              </w:rPr>
              <w:t>g) Alojamento em grupo;</w:t>
            </w:r>
          </w:p>
          <w:p>
            <w:pPr>
              <w:spacing w:after="0" w:before="100"/>
              <w:ind w:right="80" w:left="360" w:hanging="280"/>
            </w:pPr>
            <w:r>
              <w:rPr>
                <w:rFonts w:ascii="Calibri" w:hAnsi="Calibri"/>
                <w:b w:val="0"/>
                <w:i/>
                <w:color w:val="222222"/>
                <w:sz w:val="19"/>
              </w:rPr>
              <w:t>h) Espaços permitidos para diferentes categorias de cães e gatos;</w:t>
            </w:r>
          </w:p>
          <w:p>
            <w:pPr>
              <w:spacing w:after="0" w:before="100"/>
              <w:ind w:right="80" w:left="360" w:hanging="280"/>
            </w:pPr>
            <w:r>
              <w:rPr>
                <w:rFonts w:ascii="Calibri" w:hAnsi="Calibri"/>
                <w:b w:val="0"/>
                <w:i/>
                <w:color w:val="222222"/>
                <w:sz w:val="19"/>
              </w:rPr>
              <w:t>i) Frequência de gestações;</w:t>
            </w:r>
          </w:p>
          <w:p>
            <w:pPr>
              <w:spacing w:after="0" w:before="100"/>
              <w:ind w:right="80" w:left="360" w:hanging="280"/>
            </w:pPr>
            <w:r>
              <w:rPr>
                <w:rFonts w:ascii="Calibri" w:hAnsi="Calibri"/>
                <w:b w:val="0"/>
                <w:i/>
                <w:color w:val="222222"/>
                <w:sz w:val="19"/>
              </w:rPr>
              <w:t>j) Idade mínima e máxima de cadelas e gatas para reprodução;</w:t>
            </w:r>
          </w:p>
          <w:p>
            <w:pPr>
              <w:spacing w:after="0" w:before="10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100"/>
              <w:ind w:right="80" w:left="360" w:hanging="280"/>
            </w:pPr>
            <w:r>
              <w:rPr>
                <w:rFonts w:ascii="Calibri" w:hAnsi="Calibri"/>
                <w:b w:val="0"/>
                <w:i/>
                <w:color w:val="222222"/>
                <w:sz w:val="19"/>
              </w:rPr>
              <w:t>l) Requisitos para transponders utilizados na identificação individual de cães e gatos;</w:t>
            </w:r>
          </w:p>
          <w:p>
            <w:pPr>
              <w:spacing w:after="0" w:before="100"/>
              <w:ind w:right="80" w:left="360" w:hanging="280"/>
            </w:pPr>
            <w:r>
              <w:rPr>
                <w:rFonts w:ascii="Calibri" w:hAnsi="Calibri"/>
                <w:b w:val="0"/>
                <w:i/>
                <w:color w:val="222222"/>
                <w:sz w:val="19"/>
              </w:rPr>
              <w:t>m) Dados a recolher para avaliação e monitorização de políticas.</w:t>
            </w:r>
          </w:p>
          <w:p>
            <w:pPr>
              <w:spacing w:after="0" w:before="140"/>
              <w:ind w:right="80" w:left="80" w:firstLine="0"/>
            </w:pPr>
            <w:r>
              <w:rPr>
                <w:rFonts w:ascii="Calibri" w:hAnsi="Calibri"/>
                <w:b w:val="0"/>
                <w:i/>
                <w:color w:val="222222"/>
                <w:sz w:val="19"/>
              </w:rPr>
              <w:t>2. 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Anexos existem; falta delegação de autoridade para alteração dinâmica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Estrutura de anexos com parâmetros técnicos; falta delegação</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ANEXO estruturado; falta mecanismo de atos delegados/execução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23.º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The power to adopt delegated acts is conferred on the Commission subject to the conditions laid down in this Article.</w:t>
            </w:r>
          </w:p>
          <w:p>
            <w:pPr>
              <w:spacing w:after="0" w:before="140"/>
              <w:ind w:right="80" w:left="80" w:firstLine="0"/>
            </w:pPr>
            <w:r>
              <w:rPr>
                <w:rFonts w:ascii="Calibri" w:hAnsi="Calibri"/>
                <w:b w:val="0"/>
                <w:i w:val="0"/>
                <w:color w:val="222222"/>
                <w:sz w:val="19"/>
              </w:rPr>
              <w:t>2 — The power to adopt delegated acts referred to in Article 6(2b), Article 6a(3), Article 10(2) and Article 22 shall be conferred on the Commission for an indeterminate period of time from [the date of entry into force of this Regulation].</w:t>
            </w:r>
          </w:p>
          <w:p>
            <w:pPr>
              <w:spacing w:after="0" w:before="140"/>
              <w:ind w:right="80" w:left="80" w:firstLine="0"/>
            </w:pPr>
            <w:r>
              <w:rPr>
                <w:rFonts w:ascii="Calibri" w:hAnsi="Calibri"/>
                <w:b w:val="0"/>
                <w:i w:val="0"/>
                <w:color w:val="222222"/>
                <w:sz w:val="19"/>
              </w:rPr>
              <w:t>3 — The delegation of power referred to in Article 6(2b), Article 6a(3), Article 10(2) and Article 22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140"/>
              <w:ind w:right="80" w:left="80" w:firstLine="0"/>
            </w:pPr>
            <w:r>
              <w:rPr>
                <w:rFonts w:ascii="Calibri" w:hAnsi="Calibri"/>
                <w:b w:val="0"/>
                <w:i w:val="0"/>
                <w:color w:val="222222"/>
                <w:sz w:val="19"/>
              </w:rPr>
              <w:t>4 — Before adopting a delegated act, the Commission shall consult experts designated by each Member State in accordance with the principles laid down in the Interinstitutional Agreement of 13 April 2016 on Better Law-Making.</w:t>
            </w:r>
          </w:p>
          <w:p>
            <w:pPr>
              <w:spacing w:after="0" w:before="140"/>
              <w:ind w:right="80" w:left="80" w:firstLine="0"/>
            </w:pPr>
            <w:r>
              <w:rPr>
                <w:rFonts w:ascii="Calibri" w:hAnsi="Calibri"/>
                <w:b w:val="0"/>
                <w:i w:val="0"/>
                <w:color w:val="222222"/>
                <w:sz w:val="19"/>
              </w:rPr>
              <w:t>5 — As soon as it adopts a delegated act, the Commission shall notify it simultaneously to the European Parliament and to the Council.</w:t>
            </w:r>
          </w:p>
          <w:p>
            <w:pPr>
              <w:spacing w:after="0" w:before="140"/>
              <w:ind w:right="80" w:left="80" w:firstLine="0"/>
            </w:pPr>
            <w:r>
              <w:rPr>
                <w:rFonts w:ascii="Calibri" w:hAnsi="Calibri"/>
                <w:b w:val="0"/>
                <w:i w:val="0"/>
                <w:color w:val="222222"/>
                <w:sz w:val="19"/>
              </w:rPr>
              <w:t>6 — A delegated act adopted pursuant to Article 6(2b), Article 6a(3), Article 10(2) and Article 22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poder de adotar atos delegados é conferido à Comissão nas condições estabelecidas no presente artigo.</w:t>
            </w:r>
          </w:p>
          <w:p>
            <w:pPr>
              <w:spacing w:after="0" w:before="140"/>
              <w:ind w:right="80" w:left="80" w:firstLine="0"/>
            </w:pPr>
            <w:r>
              <w:rPr>
                <w:rFonts w:ascii="Calibri" w:hAnsi="Calibri"/>
                <w:b w:val="0"/>
                <w:i/>
                <w:color w:val="222222"/>
                <w:sz w:val="19"/>
              </w:rPr>
              <w:t>2 — O poder de adotar atos delegados referido no artigo 6.º, n.º 4, no artigo 10.º, n.º 2, e no artigo 22.º é conferido à Comissão por tempo indeterminado a partir de [data de entrada em vigor do presente regulamento].</w:t>
            </w:r>
          </w:p>
          <w:p>
            <w:pPr>
              <w:spacing w:after="0" w:before="140"/>
              <w:ind w:right="80" w:left="80" w:firstLine="0"/>
            </w:pPr>
            <w:r>
              <w:rPr>
                <w:rFonts w:ascii="Calibri" w:hAnsi="Calibri"/>
                <w:b w:val="0"/>
                <w:i/>
                <w:color w:val="222222"/>
                <w:sz w:val="19"/>
              </w:rPr>
              <w:t>3 — A delegação de poderes referida no artigo 6.º, n.º 4, no artigo 10.º, n.º 2, e no artigo 22.º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140"/>
              <w:ind w:right="80" w:left="80" w:firstLine="0"/>
            </w:pPr>
            <w:r>
              <w:rPr>
                <w:rFonts w:ascii="Calibri" w:hAnsi="Calibri"/>
                <w:b w:val="0"/>
                <w:i/>
                <w:color w:val="222222"/>
                <w:sz w:val="19"/>
              </w:rPr>
              <w:t>4 — Antes de adotar um ato delegado, a Comissão consulta os peritos designados por cada Estado-Membro de acordo com os princípios estabelecidos no Acordo Interinstitucional, de 13 de abril de 2016, sobre legislar melhor.</w:t>
            </w:r>
          </w:p>
          <w:p>
            <w:pPr>
              <w:spacing w:after="0" w:before="140"/>
              <w:ind w:right="80" w:left="80" w:firstLine="0"/>
            </w:pPr>
            <w:r>
              <w:rPr>
                <w:rFonts w:ascii="Calibri" w:hAnsi="Calibri"/>
                <w:b w:val="0"/>
                <w:i/>
                <w:color w:val="222222"/>
                <w:sz w:val="19"/>
              </w:rPr>
              <w:t>5 — Assim que adotar um ato delegado, a Comissão notifica-o simultaneamente ao Parlamento Europeu e ao Conselho.</w:t>
            </w:r>
          </w:p>
          <w:p>
            <w:pPr>
              <w:spacing w:after="0" w:before="140"/>
              <w:ind w:right="80" w:left="80" w:firstLine="0"/>
            </w:pPr>
            <w:r>
              <w:rPr>
                <w:rFonts w:ascii="Calibri" w:hAnsi="Calibri"/>
                <w:b w:val="0"/>
                <w:i/>
                <w:color w:val="222222"/>
                <w:sz w:val="19"/>
              </w:rPr>
              <w:t>6 — Os atos delegados adotados nos termos do artigo 6.º, n.º 4, do artigo 10.º, n.º 2, e do artigo 22.º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procedimento de delegação de atos à Comissão Europeia.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The Commission shall be assisted by the Standing Committee on Plants, Animals, Food and Feed established by Article 58(1) of Regulation (EC) No 178/2002. That Committee shall be a committee within the meaning of Regulation (EU) No 182/2011.</w:t>
            </w:r>
          </w:p>
          <w:p>
            <w:pPr>
              <w:spacing w:after="0" w:before="140"/>
              <w:ind w:right="80" w:left="80" w:firstLine="0"/>
            </w:pPr>
            <w:r>
              <w:rPr>
                <w:rFonts w:ascii="Calibri" w:hAnsi="Calibri"/>
                <w:b w:val="0"/>
                <w:i w:val="0"/>
                <w:color w:val="222222"/>
                <w:sz w:val="19"/>
              </w:rPr>
              <w:t>2 — Where reference is made to this paragraph, Article 5 of Regulation (EU) No 182/2011 shall apply.</w:t>
            </w:r>
          </w:p>
          <w:p>
            <w:pPr>
              <w:spacing w:after="0" w:before="140"/>
              <w:ind w:right="80" w:left="80" w:firstLine="0"/>
            </w:pPr>
            <w:r>
              <w:rPr>
                <w:rFonts w:ascii="Calibri" w:hAnsi="Calibri"/>
                <w:b w:val="0"/>
                <w:i w:val="0"/>
                <w:color w:val="222222"/>
                <w:sz w:val="19"/>
              </w:rPr>
              <w:t>3 — 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140"/>
              <w:ind w:right="80" w:left="80" w:firstLine="0"/>
            </w:pPr>
            <w:r>
              <w:rPr>
                <w:rFonts w:ascii="Calibri" w:hAnsi="Calibri"/>
                <w:b w:val="0"/>
                <w:i/>
                <w:color w:val="222222"/>
                <w:sz w:val="19"/>
              </w:rPr>
              <w:t>2 — Caso se faça referência ao presente número, aplica-se o artigo 5.º do Regulamento (UE) n.º 182/2011.</w:t>
            </w:r>
          </w:p>
          <w:p>
            <w:pPr>
              <w:spacing w:after="0" w:before="14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procedimento de comité — assistência à Comissão Europeia.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Rigorosas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measures  ·  Art.º 25.º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This Regulation shall not prevent Member States from maintaining or adopting any stricter national rules aimed at a more extensive protection of the welfare of dogs and cats kept in establishments and the traceability of dogs and cats, provided that those rules are not inconsistent with this Regulation and do not interfere with the proper functioning of the internal market.</w:t>
            </w:r>
          </w:p>
          <w:p>
            <w:pPr>
              <w:spacing w:after="0" w:before="140"/>
              <w:ind w:right="80" w:left="80" w:firstLine="0"/>
            </w:pPr>
            <w:r>
              <w:rPr>
                <w:rFonts w:ascii="Calibri" w:hAnsi="Calibri"/>
                <w:b w:val="0"/>
                <w:i w:val="0"/>
                <w:color w:val="222222"/>
                <w:sz w:val="19"/>
              </w:rPr>
              <w:t>1a — Member States shall inform the Commission about such existing national rules by [the date of application of this Regulation] and shall inform the Commission about such new national rules before their adoption, unless Member States have notified the draft national rules in accordance with Directive (EU) 2015/1535. The Commission shall bring them to the attention of the other Member States.</w:t>
            </w:r>
          </w:p>
          <w:p>
            <w:pPr>
              <w:spacing w:after="0" w:before="140"/>
              <w:ind w:right="80" w:left="80" w:firstLine="0"/>
            </w:pPr>
            <w:r>
              <w:rPr>
                <w:rFonts w:ascii="Calibri" w:hAnsi="Calibri"/>
                <w:b w:val="0"/>
                <w:i w:val="0"/>
                <w:color w:val="222222"/>
                <w:sz w:val="19"/>
              </w:rPr>
              <w:t>2 —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presente regulamento não obsta a que os Estados-Membros mantenham disposições nacionais mais rigorosas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140"/>
              <w:ind w:right="80" w:left="80" w:firstLine="0"/>
            </w:pPr>
            <w:r>
              <w:rPr>
                <w:rFonts w:ascii="Calibri" w:hAnsi="Calibri"/>
                <w:b w:val="0"/>
                <w:i/>
                <w:color w:val="222222"/>
                <w:sz w:val="19"/>
              </w:rPr>
              <w:t>1a —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140"/>
              <w:ind w:right="80" w:left="80" w:firstLine="0"/>
            </w:pPr>
            <w:r>
              <w:rPr>
                <w:rFonts w:ascii="Calibri" w:hAnsi="Calibri"/>
                <w:b w:val="0"/>
                <w:i/>
                <w:color w:val="222222"/>
                <w:sz w:val="19"/>
              </w:rPr>
              <w:t>2 — Um Estado-Membro que tenha disposições nacionais mais rigorosas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direitos dos Estados-Membros de manter ou adoptar medidas mais rigorosas.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liberdade de Estados-Membros para legislação mais rigorosa.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26.º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On the basis of the reports received in accordance with Article 20 and any additional relevant information, the Commission shall publish, by [7 years from the date of entry into force of this Regulation] and thereafter every 3 years, a monitoring report on the welfare of dogs and cats placed on the market in the Union.</w:t>
            </w:r>
          </w:p>
          <w:p>
            <w:pPr>
              <w:spacing w:after="0" w:before="140"/>
              <w:ind w:right="80" w:left="80" w:firstLine="0"/>
            </w:pPr>
            <w:r>
              <w:rPr>
                <w:rFonts w:ascii="Calibri" w:hAnsi="Calibri"/>
                <w:b w:val="0"/>
                <w:i w:val="0"/>
                <w:color w:val="222222"/>
                <w:sz w:val="19"/>
              </w:rPr>
              <w:t>2 — By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particular, the Commission shall assess:</w:t>
            </w:r>
          </w:p>
          <w:p>
            <w:pPr>
              <w:spacing w:after="0" w:before="100"/>
              <w:ind w:right="80" w:left="360" w:hanging="280"/>
            </w:pPr>
            <w:r>
              <w:rPr>
                <w:rFonts w:ascii="Calibri" w:hAnsi="Calibri"/>
                <w:b w:val="0"/>
                <w:i w:val="0"/>
                <w:color w:val="222222"/>
                <w:sz w:val="19"/>
              </w:rPr>
              <w:t>a) the extent to which this Regulation has contributed to ensuring a high level of welfare for dogs and cats, improving traceability, reducing illegal trade;</w:t>
            </w:r>
          </w:p>
          <w:p>
            <w:pPr>
              <w:spacing w:after="0" w:before="100"/>
              <w:ind w:right="80" w:left="360" w:hanging="280"/>
            </w:pPr>
            <w:r>
              <w:rPr>
                <w:rFonts w:ascii="Calibri" w:hAnsi="Calibri"/>
                <w:b w:val="0"/>
                <w:i w:val="0"/>
                <w:color w:val="222222"/>
                <w:sz w:val="19"/>
              </w:rPr>
              <w:t>b) the impact of this Regulation on operators of breeding and selling establishments and of shelters, and operators placing dogs and cats in foster homes, including the administrative burden and compliance costs.</w:t>
            </w:r>
          </w:p>
          <w:p>
            <w:pPr>
              <w:spacing w:after="0" w:before="140"/>
              <w:ind w:right="80" w:left="80" w:firstLine="0"/>
            </w:pPr>
            <w:r>
              <w:rPr>
                <w:rFonts w:ascii="Calibri" w:hAnsi="Calibri"/>
                <w:b w:val="0"/>
                <w:i w:val="0"/>
                <w:color w:val="222222"/>
                <w:sz w:val="19"/>
              </w:rPr>
              <w:t>3 — For the purposes of the reporting referred to in paragraph 2, Member States shall provide the Commission with the information necessary for the preparation of the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Com base nos relatórios recebidos em conformidade com o artigo 20.º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 —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10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10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140"/>
              <w:ind w:right="80" w:left="80" w:firstLine="0"/>
            </w:pPr>
            <w:r>
              <w:rPr>
                <w:rFonts w:ascii="Calibri" w:hAnsi="Calibri"/>
                <w:b w:val="0"/>
                <w:i/>
                <w:color w:val="222222"/>
                <w:sz w:val="19"/>
              </w:rPr>
              <w:t>3 —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relatórios de monitorização e avaliação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27.º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140"/>
              <w:ind w:right="80" w:left="80" w:firstLine="0"/>
            </w:pPr>
            <w:r>
              <w:rPr>
                <w:rFonts w:ascii="Calibri" w:hAnsi="Calibri"/>
                <w:b w:val="0"/>
                <w:i w:val="0"/>
                <w:color w:val="222222"/>
                <w:sz w:val="19"/>
              </w:rPr>
              <w:t>2 — Member States shall notify the Commission of those rules and of those measures and shall notify it, without delay, of any subsequent amendment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140"/>
              <w:ind w:right="80" w:left="80" w:firstLine="0"/>
            </w:pPr>
            <w:r>
              <w:rPr>
                <w:rFonts w:ascii="Calibri" w:hAnsi="Calibri"/>
                <w:b w:val="0"/>
                <w:i/>
                <w:color w:val="222222"/>
                <w:sz w:val="19"/>
              </w:rPr>
              <w:t>2 — 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responsabilidade dos Estados-Membros em estabelecer sanções por infração.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regime sancionatório a ser definido pelos Estados-Membros.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28.º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This Regulation shall enter into force on the twentieth day following that of its publication in the Official Journal of the European Union.</w:t>
            </w:r>
          </w:p>
          <w:p>
            <w:pPr>
              <w:spacing w:after="0" w:before="140"/>
              <w:ind w:right="80" w:left="80" w:firstLine="0"/>
            </w:pPr>
            <w:r>
              <w:rPr>
                <w:rFonts w:ascii="Calibri" w:hAnsi="Calibri"/>
                <w:b w:val="0"/>
                <w:i w:val="0"/>
                <w:color w:val="222222"/>
                <w:sz w:val="19"/>
              </w:rPr>
              <w:t>2 — It shall apply from [2 years from the date of entry into force of this Regulation], except:</w:t>
            </w:r>
          </w:p>
          <w:p>
            <w:pPr>
              <w:spacing w:after="0" w:before="100"/>
              <w:ind w:right="80" w:left="360" w:hanging="280"/>
            </w:pPr>
            <w:r>
              <w:rPr>
                <w:rFonts w:ascii="Calibri" w:hAnsi="Calibri"/>
                <w:b w:val="0"/>
                <w:i w:val="0"/>
                <w:color w:val="222222"/>
                <w:sz w:val="19"/>
              </w:rPr>
              <w:t>a) Article 13 that shall apply from [3 years from the date of entry into force of this Regulation];</w:t>
            </w:r>
          </w:p>
          <w:p>
            <w:pPr>
              <w:spacing w:after="0" w:before="100"/>
              <w:ind w:right="80" w:left="360" w:hanging="280"/>
            </w:pPr>
            <w:r>
              <w:rPr>
                <w:rFonts w:ascii="Calibri" w:hAnsi="Calibri"/>
                <w:b w:val="0"/>
                <w:i w:val="0"/>
                <w:color w:val="222222"/>
                <w:sz w:val="19"/>
              </w:rPr>
              <w:t>b) Article 6a(2) that shall apply from 1 July 2030;</w:t>
            </w:r>
          </w:p>
          <w:p>
            <w:pPr>
              <w:spacing w:after="0" w:before="100"/>
              <w:ind w:right="80" w:left="360" w:hanging="280"/>
            </w:pPr>
            <w:r>
              <w:rPr>
                <w:rFonts w:ascii="Calibri" w:hAnsi="Calibri"/>
                <w:b w:val="0"/>
                <w:i w:val="0"/>
                <w:color w:val="222222"/>
                <w:sz w:val="19"/>
              </w:rPr>
              <w:t>c) Article 12, Article 17a(3)(c), (4) and (6), Article 18(a),(b) and (ba), Article 19(2) and (2a), and Article 21(1) to (4) that shall apply from [5 years from the date of entry into force of this Regulation];</w:t>
            </w:r>
          </w:p>
          <w:p>
            <w:pPr>
              <w:spacing w:after="0" w:before="100"/>
              <w:ind w:right="80" w:left="360" w:hanging="280"/>
            </w:pPr>
            <w:r>
              <w:rPr>
                <w:rFonts w:ascii="Calibri" w:hAnsi="Calibri"/>
                <w:b w:val="0"/>
                <w:i w:val="0"/>
                <w:color w:val="222222"/>
                <w:sz w:val="19"/>
              </w:rPr>
              <w:t>d) Article 9(2) and (2a) that shall apply from [7 years from the date of entry into force of this Regulation];</w:t>
            </w:r>
          </w:p>
          <w:p>
            <w:pPr>
              <w:spacing w:after="0" w:before="100"/>
              <w:ind w:right="80" w:left="360" w:hanging="280"/>
            </w:pPr>
            <w:r>
              <w:rPr>
                <w:rFonts w:ascii="Calibri" w:hAnsi="Calibri"/>
                <w:b w:val="0"/>
                <w:i w:val="0"/>
                <w:color w:val="222222"/>
                <w:sz w:val="19"/>
              </w:rPr>
              <w:t>e) Article 7a that shall apply from [8 years from the date of entry into force of this Regulation];</w:t>
            </w:r>
          </w:p>
          <w:p>
            <w:pPr>
              <w:spacing w:after="0" w:before="100"/>
              <w:ind w:right="80" w:left="360" w:hanging="280"/>
            </w:pPr>
            <w:r>
              <w:rPr>
                <w:rFonts w:ascii="Calibri" w:hAnsi="Calibri"/>
                <w:b w:val="0"/>
                <w:i w:val="0"/>
                <w:color w:val="222222"/>
                <w:sz w:val="19"/>
              </w:rPr>
              <w:t>f) Article 21(4a) that shall apply from [10 years from the entry into force of the Regulation] and;</w:t>
            </w:r>
          </w:p>
          <w:p>
            <w:pPr>
              <w:spacing w:after="0" w:before="100"/>
              <w:ind w:right="80" w:left="360" w:hanging="280"/>
            </w:pPr>
            <w:r>
              <w:rPr>
                <w:rFonts w:ascii="Calibri" w:hAnsi="Calibri"/>
                <w:b w:val="0"/>
                <w:i w:val="0"/>
                <w:color w:val="222222"/>
                <w:sz w:val="19"/>
              </w:rPr>
              <w:t>g) second subparagraph of Article 17(1) and (2), Article 17a(3) and Article 19(1) that shall apply from [4 years from entry into force of this Regulation], except for pet owners and other natural or legal persons, other than operators, who do not place dogs or cats on the market, for whom Article 17(1) and (2) shall apply from [10 years from entry into force of this Regulation] in the case of identification and registration of dogs and [15 years from the entry into force of this Regulation] in the case of identification and registration of cats.</w:t>
            </w:r>
          </w:p>
          <w:p>
            <w:pPr>
              <w:spacing w:after="0" w:before="140"/>
              <w:ind w:right="80" w:left="80" w:firstLine="0"/>
            </w:pPr>
            <w:r>
              <w:rPr>
                <w:rFonts w:ascii="Calibri" w:hAnsi="Calibri"/>
                <w:b w:val="0"/>
                <w:i w:val="0"/>
                <w:color w:val="222222"/>
                <w:sz w:val="19"/>
              </w:rPr>
              <w:t>3 — 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presente regulamento entra em vigor no vigésimo dia seguinte ao da sua publicação no Jornal Oficial da União Europeia.</w:t>
            </w:r>
          </w:p>
          <w:p>
            <w:pPr>
              <w:spacing w:after="0" w:before="140"/>
              <w:ind w:right="80" w:left="80" w:firstLine="0"/>
            </w:pPr>
            <w:r>
              <w:rPr>
                <w:rFonts w:ascii="Calibri" w:hAnsi="Calibri"/>
                <w:b w:val="0"/>
                <w:i/>
                <w:color w:val="222222"/>
                <w:sz w:val="19"/>
              </w:rPr>
              <w:t>2 — O presente regulamento é aplicável a partir de [2 anos após a data de entrada em vigor do presente regulamento], salvo:</w:t>
            </w:r>
          </w:p>
          <w:p>
            <w:pPr>
              <w:spacing w:after="0" w:before="100"/>
              <w:ind w:right="80" w:left="360" w:hanging="280"/>
            </w:pPr>
            <w:r>
              <w:rPr>
                <w:rFonts w:ascii="Calibri" w:hAnsi="Calibri"/>
                <w:b w:val="0"/>
                <w:i/>
                <w:color w:val="222222"/>
                <w:sz w:val="19"/>
              </w:rPr>
              <w:t>a) O artigo 13.º que é aplicável a partir de [3 anos após a data de entrada em vigor do presente regulamento];</w:t>
            </w:r>
          </w:p>
          <w:p>
            <w:pPr>
              <w:spacing w:after="0" w:before="100"/>
              <w:ind w:right="80" w:left="360" w:hanging="280"/>
            </w:pPr>
            <w:r>
              <w:rPr>
                <w:rFonts w:ascii="Calibri" w:hAnsi="Calibri"/>
                <w:b w:val="0"/>
                <w:i/>
                <w:color w:val="222222"/>
                <w:sz w:val="19"/>
              </w:rPr>
              <w:t>b) O artigo 6a, n.º 2 que é aplicável a partir de 1 de julho de 2030;</w:t>
            </w:r>
          </w:p>
          <w:p>
            <w:pPr>
              <w:spacing w:after="0" w:before="100"/>
              <w:ind w:right="80" w:left="360" w:hanging="280"/>
            </w:pPr>
            <w:r>
              <w:rPr>
                <w:rFonts w:ascii="Calibri" w:hAnsi="Calibri"/>
                <w:b w:val="0"/>
                <w:i/>
                <w:color w:val="222222"/>
                <w:sz w:val="19"/>
              </w:rPr>
              <w:t>c) O artigo 12.º, artigo 17a (n.º 3, alíneas c, d e f), artigo 18.º (alíneas a, b e ba), artigo 19.º (n.ºs 2 e 2a) e artigo 21.º (n.ºs 1 a 4) que são aplicáveis a partir de [5 anos após a data de entrada em vigor do presente regulamento];</w:t>
            </w:r>
          </w:p>
          <w:p>
            <w:pPr>
              <w:spacing w:after="0" w:before="100"/>
              <w:ind w:right="80" w:left="360" w:hanging="280"/>
            </w:pPr>
            <w:r>
              <w:rPr>
                <w:rFonts w:ascii="Calibri" w:hAnsi="Calibri"/>
                <w:b w:val="0"/>
                <w:i/>
                <w:color w:val="222222"/>
                <w:sz w:val="19"/>
              </w:rPr>
              <w:t>d) O artigo 9.º (n.ºs 2 e 2a) que é aplicável a partir de [7 anos após a data de entrada em vigor do presente regulamento];</w:t>
            </w:r>
          </w:p>
          <w:p>
            <w:pPr>
              <w:spacing w:after="0" w:before="100"/>
              <w:ind w:right="80" w:left="360" w:hanging="280"/>
            </w:pPr>
            <w:r>
              <w:rPr>
                <w:rFonts w:ascii="Calibri" w:hAnsi="Calibri"/>
                <w:b w:val="0"/>
                <w:i/>
                <w:color w:val="222222"/>
                <w:sz w:val="19"/>
              </w:rPr>
              <w:t>e) O artigo 7a que é aplicável a partir de [8 anos após a data de entrada em vigor do presente regulamento];</w:t>
            </w:r>
          </w:p>
          <w:p>
            <w:pPr>
              <w:spacing w:after="0" w:before="100"/>
              <w:ind w:right="80" w:left="360" w:hanging="280"/>
            </w:pPr>
            <w:r>
              <w:rPr>
                <w:rFonts w:ascii="Calibri" w:hAnsi="Calibri"/>
                <w:b w:val="0"/>
                <w:i/>
                <w:color w:val="222222"/>
                <w:sz w:val="19"/>
              </w:rPr>
              <w:t>f) O artigo 21.º, n.º 4a que é aplicável a partir de [10 anos após a entrada em vigor do regulamento] e;</w:t>
            </w:r>
          </w:p>
          <w:p>
            <w:pPr>
              <w:spacing w:after="0" w:before="100"/>
              <w:ind w:right="80" w:left="360" w:hanging="280"/>
            </w:pPr>
            <w:r>
              <w:rPr>
                <w:rFonts w:ascii="Calibri" w:hAnsi="Calibri"/>
                <w:b w:val="0"/>
                <w:i/>
                <w:color w:val="222222"/>
                <w:sz w:val="19"/>
              </w:rPr>
              <w:t>g) O segundo parágrafo do artigo 17.º (n.ºs 1 e 2), artigo 17a (n.º 3) e artigo 19.º, n.º 1 que são aplicáveis a partir de [4 anos após a entrada em vigor do presente regulamento], com exceção dos proprietários de animais de estimação e outras pessoas singulares ou coletivas, que não sejam operadores, que não colocam cães ou gatos no mercado, para os quais o artigo 17.º (n.ºs 1 e 2) é aplicável a partir de [10 anos após a entrada em vigor do presente regulamento] no caso da identificação e registo de cães e [15 anos após a entrada em vigor do presente regulamento] no caso da identificação e registo de gatos.</w:t>
            </w:r>
          </w:p>
          <w:p>
            <w:pPr>
              <w:spacing w:after="0" w:before="140"/>
              <w:ind w:right="80" w:left="80" w:firstLine="0"/>
            </w:pPr>
            <w:r>
              <w:rPr>
                <w:rFonts w:ascii="Calibri" w:hAnsi="Calibri"/>
                <w:b w:val="0"/>
                <w:i/>
                <w:color w:val="222222"/>
                <w:sz w:val="19"/>
              </w:rPr>
              <w:t>3 — 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entrada em vigor e aplicação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entrada em vigor, períodos de aplicação escalonados e obrigatoriedade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ANNEX-I-POINT-1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ANEXO I, Ponto 1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Feeding and watering</w:t>
            </w:r>
          </w:p>
          <w:p>
            <w:pPr>
              <w:spacing w:after="0" w:before="14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140"/>
              <w:ind w:right="80" w:left="80" w:firstLine="0"/>
            </w:pPr>
            <w:r>
              <w:rPr>
                <w:rFonts w:ascii="Calibri" w:hAnsi="Calibri"/>
                <w:b w:val="0"/>
                <w:i w:val="0"/>
                <w:color w:val="222222"/>
                <w:sz w:val="19"/>
              </w:rPr>
              <w:t>1.2 These requirements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1.3 Each puppy or kitten shall be fed with colostrum during at least the first two days of its life and thereafter with milk from its mother or a lactating bitch or queen. If this is not possible, because she is ill or is otherwise unable to feed her offspring or not sufficient, the puppy or kitten shall be fed with a milk replacer designed for puppies and kittens with such feeding frequency as instructed by the producer of the replacer or by a veterinarian.</w:t>
            </w:r>
          </w:p>
          <w:p>
            <w:pPr>
              <w:spacing w:after="0" w:before="140"/>
              <w:ind w:right="80" w:left="80" w:firstLine="0"/>
            </w:pPr>
            <w:r>
              <w:rPr>
                <w:rFonts w:ascii="Calibri" w:hAnsi="Calibri"/>
                <w:b w:val="0"/>
                <w:i w:val="0"/>
                <w:color w:val="222222"/>
                <w:sz w:val="19"/>
              </w:rPr>
              <w:t>1.4 All unweaned puppies and kittens shall be fed enough milk, milk replacer or a combination thereof to steadily gain bodyweight.</w:t>
            </w:r>
          </w:p>
          <w:p>
            <w:pPr>
              <w:spacing w:after="0" w:before="140"/>
              <w:ind w:right="80" w:left="80" w:firstLine="0"/>
            </w:pPr>
            <w:r>
              <w:rPr>
                <w:rFonts w:ascii="Calibri" w:hAnsi="Calibri"/>
                <w:b w:val="0"/>
                <w:i w:val="0"/>
                <w:color w:val="222222"/>
                <w:sz w:val="19"/>
              </w:rPr>
              <w:t>1.5 Weaning shall be performed with gradual introduction of firm feed, in a process not shorter than 7 days and shall not be completed before 6 weeks of age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1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140"/>
              <w:ind w:right="80" w:left="80" w:firstLine="0"/>
            </w:pPr>
            <w:r>
              <w:rPr>
                <w:rFonts w:ascii="Calibri" w:hAnsi="Calibri"/>
                <w:b w:val="0"/>
                <w:i/>
                <w:color w:val="222222"/>
                <w:sz w:val="19"/>
              </w:rPr>
              <w:t>1.1 Os cães e gatos devem ser alimentados pelo menos duas vezes por dia. Os filhotes de cão e gato devem ser alimentados com maior frequência.</w:t>
            </w:r>
          </w:p>
          <w:p>
            <w:pPr>
              <w:spacing w:after="0" w:before="140"/>
              <w:ind w:right="80" w:left="80" w:firstLine="0"/>
            </w:pPr>
            <w:r>
              <w:rPr>
                <w:rFonts w:ascii="Calibri" w:hAnsi="Calibri"/>
                <w:b w:val="0"/>
                <w:i/>
                <w:color w:val="222222"/>
                <w:sz w:val="19"/>
              </w:rPr>
              <w:t>1.2 Estes requisitos não se aplicam aos cães pastores de gado mantidos em estabelecimentos de criação durante os períodos em que tais cães são utilizados para guarda ou treino.</w:t>
            </w:r>
          </w:p>
          <w:p>
            <w:pPr>
              <w:spacing w:after="0" w:before="140"/>
              <w:ind w:right="80" w:left="80" w:firstLine="0"/>
            </w:pPr>
            <w:r>
              <w:rPr>
                <w:rFonts w:ascii="Calibri" w:hAnsi="Calibri"/>
                <w:b w:val="0"/>
                <w:i/>
                <w:color w:val="222222"/>
                <w:sz w:val="19"/>
              </w:rPr>
              <w:t>1.3 Cada filhote de cão ou gato deve ser alimentado com colostro durante pelo menos os primeiros dois dias de vida e depois com leite da mãe ou de uma cadela ou gata lactante. Se tal não for possível, porque está doente ou incapaz de alimentar a ninhada ou se o leite for insuficiente, o filhote deve ser alimentado com um substituto de leite concebido para filhotes, com a frequência de alimentação instruída pelo produtor do substituto ou por um veterinário.</w:t>
            </w:r>
          </w:p>
          <w:p>
            <w:pPr>
              <w:spacing w:after="0" w:before="140"/>
              <w:ind w:right="80" w:left="80" w:firstLine="0"/>
            </w:pPr>
            <w:r>
              <w:rPr>
                <w:rFonts w:ascii="Calibri" w:hAnsi="Calibri"/>
                <w:b w:val="0"/>
                <w:i/>
                <w:color w:val="222222"/>
                <w:sz w:val="19"/>
              </w:rPr>
              <w:t>1.4 Todos os filhotes de cão e gato ainda em aleitamento devem ser alimentados com leite, substituto de leite ou uma combinação dos dois, em quantidade suficiente para ganhar peso corporal de forma constante.</w:t>
            </w:r>
          </w:p>
          <w:p>
            <w:pPr>
              <w:spacing w:after="0" w:before="140"/>
              <w:ind w:right="80" w:left="80" w:firstLine="0"/>
            </w:pPr>
            <w:r>
              <w:rPr>
                <w:rFonts w:ascii="Calibri" w:hAnsi="Calibri"/>
                <w:b w:val="0"/>
                <w:i/>
                <w:color w:val="222222"/>
                <w:sz w:val="19"/>
              </w:rPr>
              <w:t>1.5 O desmame deve ser realizado com introdução gradual de alimentos sólidos, num processo que não seja inferior a 7 dias e não deve ser concluído antes dos 6 semanas de idade para filhotes de cão e gato.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fisiológicas, nutricionais e metabólicas dos cães e gatos, consoante a edad, raça, categoria, nível de atividade e estado de saúde.</w:t>
            </w:r>
          </w:p>
          <w:p>
            <w:pPr>
              <w:spacing w:after="0" w:before="140"/>
              <w:ind w:right="80" w:left="80" w:firstLine="0"/>
            </w:pPr>
            <w:r>
              <w:rPr>
                <w:rFonts w:ascii="Calibri" w:hAnsi="Calibri"/>
                <w:b w:val="0"/>
                <w:i w:val="0"/>
                <w:color w:val="222222"/>
                <w:sz w:val="19"/>
              </w:rPr>
              <w:t>2 - Os animais devem receber alimentos saudáveis, adequados e convenientes ao seu normal desenvolvimento e acesso permanente a água potável.</w:t>
            </w:r>
          </w:p>
          <w:p>
            <w:pPr>
              <w:spacing w:after="0" w:before="140"/>
              <w:ind w:right="80" w:left="80" w:firstLine="0"/>
            </w:pPr>
            <w:r>
              <w:rPr>
                <w:rFonts w:ascii="Calibri" w:hAnsi="Calibri"/>
                <w:b w:val="0"/>
                <w:i w:val="0"/>
                <w:color w:val="222222"/>
                <w:sz w:val="19"/>
              </w:rPr>
              <w:t>3 - As refeições devem ser variadas, sendo distribuídas segundo a rotina que mais se adequar à espécie.</w:t>
            </w:r>
          </w:p>
          <w:p>
            <w:pPr>
              <w:spacing w:after="0" w:before="14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14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140"/>
              <w:ind w:right="80" w:left="80" w:firstLine="0"/>
            </w:pPr>
            <w:r>
              <w:rPr>
                <w:rFonts w:ascii="Calibri" w:hAnsi="Calibri"/>
                <w:b w:val="0"/>
                <w:i w:val="0"/>
                <w:color w:val="222222"/>
                <w:sz w:val="19"/>
              </w:rPr>
              <w:t>6 - Os animais devem dispor de água potável e sem qualquer restrição, salvo por razões médico-veterinárias.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18.º - Instalações</w:t>
            </w:r>
          </w:p>
          <w:p>
            <w:pPr>
              <w:spacing w:after="0" w:before="140"/>
              <w:ind w:right="80" w:left="80" w:firstLine="0"/>
            </w:pPr>
            <w:r>
              <w:rPr>
                <w:rFonts w:ascii="Calibri" w:hAnsi="Calibri"/>
                <w:b w:val="0"/>
                <w:i w:val="0"/>
                <w:color w:val="222222"/>
                <w:sz w:val="19"/>
              </w:rPr>
              <w:t>n.º 1 - Os alojamentos que se destinem à reprodução, criação, manutenção ou venda de animais de companhia, devem possuir instalações individualizadas destinadas à armazenagem de alimentos e equipamento limpo e à lavagem e recolha de material.</w:t>
            </w:r>
          </w:p>
          <w:p>
            <w:pPr>
              <w:spacing w:after="0" w:before="200"/>
              <w:ind w:right="80" w:left="80" w:firstLine="0"/>
            </w:pPr>
            <w:r>
              <w:rPr>
                <w:rFonts w:ascii="Calibri" w:hAnsi="Calibri"/>
                <w:b/>
                <w:i w:val="0"/>
                <w:color w:val="333333"/>
                <w:sz w:val="18"/>
              </w:rPr>
              <w:t>Artigo 46.º - Alimentação e abeberamento</w:t>
            </w:r>
          </w:p>
          <w:p>
            <w:pPr>
              <w:spacing w:after="0" w:before="140"/>
              <w:ind w:right="80" w:left="80" w:firstLine="0"/>
            </w:pPr>
            <w:r>
              <w:rPr>
                <w:rFonts w:ascii="Calibri" w:hAnsi="Calibri"/>
                <w:b w:val="0"/>
                <w:i w:val="0"/>
                <w:color w:val="222222"/>
                <w:sz w:val="19"/>
              </w:rPr>
              <w:t>n.º 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140"/>
              <w:ind w:right="80" w:left="80" w:firstLine="0"/>
            </w:pPr>
            <w:r>
              <w:rPr>
                <w:rFonts w:ascii="Calibri" w:hAnsi="Calibri"/>
                <w:b w:val="0"/>
                <w:i w:val="0"/>
                <w:color w:val="222222"/>
                <w:sz w:val="19"/>
              </w:rPr>
              <w:t>n.º 2 - As refeições devem ainda ser variadas, sendo distribuídas segundo a rotina que mais se adequar à espécie.</w:t>
            </w:r>
          </w:p>
          <w:p>
            <w:pPr>
              <w:spacing w:after="0" w:before="140"/>
              <w:ind w:right="80" w:left="80" w:firstLine="0"/>
            </w:pPr>
            <w:r>
              <w:rPr>
                <w:rFonts w:ascii="Calibri" w:hAnsi="Calibri"/>
                <w:b w:val="0"/>
                <w:i w:val="0"/>
                <w:color w:val="222222"/>
                <w:sz w:val="19"/>
              </w:rPr>
              <w:t>n.º 3 - O número, formato e distribuição de comedouros e bebedouros deve ser tal que permita aos animais satisfazerem as suas necessidades sem que haja competição excessiva dentro do grupo.</w:t>
            </w:r>
          </w:p>
          <w:p>
            <w:pPr>
              <w:spacing w:after="0" w:before="140"/>
              <w:ind w:right="80" w:left="80" w:firstLine="0"/>
            </w:pPr>
            <w:r>
              <w:rPr>
                <w:rFonts w:ascii="Calibri" w:hAnsi="Calibri"/>
                <w:b w:val="0"/>
                <w:i w:val="0"/>
                <w:color w:val="222222"/>
                <w:sz w:val="19"/>
              </w:rPr>
              <w:t>n.º 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140"/>
              <w:ind w:right="80" w:left="80" w:firstLine="0"/>
            </w:pPr>
            <w:r>
              <w:rPr>
                <w:rFonts w:ascii="Calibri" w:hAnsi="Calibri"/>
                <w:b w:val="0"/>
                <w:i w:val="0"/>
                <w:color w:val="222222"/>
                <w:sz w:val="19"/>
              </w:rPr>
              <w:t>n.º 5 - Devem existir aparelhos de frio para uma eficiente conservação dos alimentos.</w:t>
            </w:r>
          </w:p>
          <w:p>
            <w:pPr>
              <w:spacing w:after="0" w:before="140"/>
              <w:ind w:right="80" w:left="80" w:firstLine="0"/>
            </w:pPr>
            <w:r>
              <w:rPr>
                <w:rFonts w:ascii="Calibri" w:hAnsi="Calibri"/>
                <w:b w:val="0"/>
                <w:i w:val="0"/>
                <w:color w:val="222222"/>
                <w:sz w:val="19"/>
              </w:rPr>
              <w:t>n.º 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n.º 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disposições específicas sobre alimentação nos diplomas de @legislacao</w:t>
            </w:r>
          </w:p>
          <w:p>
            <w:pPr>
              <w:spacing w:after="0" w:before="140"/>
              <w:ind w:right="80" w:left="80" w:firstLine="0"/>
            </w:pPr>
            <w:r>
              <w:rPr>
                <w:rFonts w:ascii="Calibri" w:hAnsi="Calibri"/>
                <w:b w:val="0"/>
                <w:i w:val="0"/>
                <w:color w:val="222222"/>
                <w:sz w:val="19"/>
              </w:rPr>
              <w:t>Não se encontram disposições específicas sobre alimentação e abeberamento nos diplomas vigentes do grupo @legislacao (DL 276/2001, DL 82/2019, Lei 27/2016, Portarias). Estes diplomas tratam fundamentalmente de identificação, registo, rastreabilidade e centros de recolha. As disposições técnicas sobre bem-estar, incluindo alimentação, encontram-se no Código do Animal (DL 214/2013, @codigo).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r>
      <w:tr>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APLICÁVEL</w:t>
            </w:r>
          </w:p>
          <w:p>
            <w:pPr>
              <w:spacing w:after="0" w:before="20"/>
              <w:ind w:right="80" w:left="80" w:firstLine="0"/>
            </w:pPr>
            <w:r>
              <w:rPr>
                <w:rFonts w:ascii="Calibri" w:hAnsi="Calibri"/>
                <w:b w:val="0"/>
                <w:i w:val="0"/>
                <w:color w:val="222222"/>
                <w:sz w:val="19"/>
              </w:rPr>
              <w:t>Não existem disposições específicas sobre alimentação e abeberamento na legislação vigente de @legislacao. As disposições técnicas estão concentradas no Código do Animal (@codigo).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O Código do Animal (DL 214/2013, Art. 46) cobre: programa alimentar, padrões de higiene, água potável, proibições de restos.</w:t>
            </w:r>
          </w:p>
          <w:p>
            <w:pPr>
              <w:spacing w:after="0" w:before="20"/>
              <w:ind w:right="80" w:left="80" w:firstLine="0"/>
            </w:pPr>
            <w:r>
              <w:rPr>
                <w:rFonts w:ascii="Calibri" w:hAnsi="Calibri"/>
                <w:b w:val="0"/>
                <w:i w:val="0"/>
                <w:color w:val="222222"/>
                <w:sz w:val="19"/>
              </w:rPr>
              <w:t>FALTAM especificidades do Regulamento: frequência mínima (2x/dia), colostro (mínimo 2 dias), leite materno, desmame gradual (mínimo 7 dias, não antes 6 semanas).</w:t>
            </w:r>
          </w:p>
        </w:tc>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CONVERGÊNCIA COMPLETA</w:t>
            </w:r>
          </w:p>
          <w:p>
            <w:pPr>
              <w:spacing w:after="0" w:before="20"/>
              <w:ind w:right="80" w:left="80" w:firstLine="0"/>
            </w:pPr>
            <w:r>
              <w:rPr>
                <w:rFonts w:ascii="Calibri" w:hAnsi="Calibri"/>
                <w:b w:val="0"/>
                <w:i w:val="0"/>
                <w:color w:val="222222"/>
                <w:sz w:val="19"/>
              </w:rPr>
              <w:t>RGBEAC (Art. 33) espelha integralmente os requisitos do Regulamento: programa definido, frequências, padrões de higiene, água potável, refrigeração, alimentos saudáveis e adequados.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1 do Regulamento especifica requisitos técnicos mínimos: frequência 2x/dia, colostro (2 dias), leite materno, desmame gradual (7 dias). Código do Animal (Art. 46) cobre aspetos gerais (programa, higiene, água) mas não detalha frequências, colostro, desmame. RGBEAC já incorpora todas as especificidades. Recomenda-se alteração do Código do Animal e/ou Lei complementar para integrar especificidades técnicas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1 estabelece requisitos técnicos de alimentação. Legislação portuguesa vigente (@legislacao) não contém disposições específicas. Código do Animal (Art. 46) cobre aspetos gerais. RGBEAC já implementa especificidades do Regulamento. Recomenda-se harmonização definitiva através de alteração legislativa.</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