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140"/>
              <w:ind w:right="80" w:left="80" w:firstLine="0"/>
            </w:pPr>
            <w:r>
              <w:rPr>
                <w:rFonts w:ascii="Calibri" w:hAnsi="Calibri"/>
                <w:b w:val="0"/>
                <w:i/>
                <w:color w:val="222222"/>
                <w:sz w:val="19"/>
              </w:rPr>
              <w:t>2. Os operadores devem assegurar que os cães ou gatos são adequadamente alimentados e hidratados através do fornecimento de:</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com o objetivo geral de atingir e manter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bem funcionante, em particular durante a fase de desmame.</w:t>
            </w:r>
          </w:p>
          <w:p>
            <w:pPr>
              <w:spacing w:after="0" w:before="140"/>
              <w:ind w:right="80" w:left="80" w:firstLine="0"/>
            </w:pPr>
            <w:r>
              <w:rPr>
                <w:rFonts w:ascii="Calibri" w:hAnsi="Calibri"/>
                <w:b w:val="0"/>
                <w:i/>
                <w:color w:val="222222"/>
                <w:sz w:val="19"/>
              </w:rPr>
              <w:t>3. Os operadores devem assegurar que as instalações de alimentação e hidratação são mantidas limpas e são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140"/>
              <w:ind w:right="80" w:left="80" w:firstLine="0"/>
            </w:pPr>
            <w:r>
              <w:rPr>
                <w:rFonts w:ascii="Calibri" w:hAnsi="Calibri"/>
                <w:b w:val="0"/>
                <w:i/>
                <w:color w:val="222222"/>
                <w:sz w:val="19"/>
              </w:rPr>
              <w:t>3a.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(n.º 1, al. a) e 10.º (n.º 1, al. a) do RGBEAC (proposta, jun. 2025)</w:t>
            </w:r>
          </w:p>
          <w:p>
            <w:pPr>
              <w:spacing w:after="0" w:before="140"/>
              <w:ind w:right="80" w:left="80" w:firstLine="0"/>
            </w:pPr>
            <w:r>
              <w:rPr>
                <w:rFonts w:ascii="Calibri" w:hAnsi="Calibri"/>
                <w:b/>
                <w:i w:val="0"/>
                <w:color w:val="333333"/>
                <w:sz w:val="18"/>
              </w:rPr>
              <w:t>Artigo 7.º - Princípios fundamentais: Não passem fome ou sede, nem sejam sujeitos a malnutrição.</w:t>
            </w:r>
          </w:p>
          <w:p>
            <w:pPr>
              <w:spacing w:after="0" w:before="200"/>
              <w:ind w:right="80" w:left="80" w:firstLine="0"/>
            </w:pPr>
            <w:r>
              <w:rPr>
                <w:rFonts w:ascii="Calibri" w:hAnsi="Calibri"/>
                <w:b/>
                <w:i w:val="0"/>
                <w:color w:val="333333"/>
                <w:sz w:val="18"/>
              </w:rPr>
              <w:t>Artigo 10.º - Obrigações especiais dos detentores: Alimentos saudáveis, adequados e convenientes ao seu normal desenvolvimento e acesso permanente a água potável. Ênfase em necessidades nutricionais adequadas ao estado de saúde.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Alimentação e abeberamento:</w:t>
            </w:r>
          </w:p>
          <w:p>
            <w:pPr>
              <w:spacing w:after="0" w:before="140"/>
              <w:ind w:right="80" w:left="80" w:firstLine="0"/>
            </w:pPr>
            <w:r>
              <w:rPr>
                <w:rFonts w:ascii="Calibri" w:hAnsi="Calibri"/>
                <w:b w:val="0"/>
                <w:i w:val="0"/>
                <w:color w:val="222222"/>
                <w:sz w:val="19"/>
              </w:rPr>
              <w:t>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w:t>
            </w:r>
          </w:p>
          <w:p>
            <w:pPr>
              <w:spacing w:after="0" w:before="140"/>
              <w:ind w:right="80" w:left="80" w:firstLine="0"/>
            </w:pPr>
            <w:r>
              <w:rPr>
                <w:rFonts w:ascii="Calibri" w:hAnsi="Calibri"/>
                <w:b w:val="0"/>
                <w:i w:val="0"/>
                <w:color w:val="222222"/>
                <w:sz w:val="19"/>
              </w:rPr>
              <w:t>Os animais devem dispor de água potável e sem qualquer restrição, salvo por razões médico-veterinárias.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12.º</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APLICÁVEL - Diploma não específico nesta matéria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 46.º implementa integralmente)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(linguagem modernizada)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(Art. 46.º) implementa todos os requisitos do Artigo 11.º. RGBEAC alinha melhor com linguagem e especificidades do Regulamento europeu. Sem divergências substanciais.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RGBEAC alinha melhor com Regulamento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the annex I. Operators of shelters shall ensure that dogs or cats are provided with housing in accordance with point 2.2 of the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360" w:hanging="28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or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14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mantidos e o equipamento utilizado são adequados aos tipos e número de cães ou gatos, e permitem o acesso necessário e inspeção minuciosa de todos os cães ou gatos;</w:t>
            </w:r>
          </w:p>
          <w:p>
            <w:pPr>
              <w:spacing w:after="0" w:before="20"/>
              <w:ind w:right="80" w:left="360" w:hanging="280"/>
            </w:pPr>
            <w:r>
              <w:rPr>
                <w:rFonts w:ascii="Calibri" w:hAnsi="Calibri"/>
                <w:b w:val="0"/>
                <w:i/>
                <w:color w:val="222222"/>
                <w:sz w:val="19"/>
              </w:rPr>
              <w:t>b) todos os componentes de construção do estabelecimento, incluindo o pavimento, telhado e divisões de espaço, bem como o equipamento utilizado para cães ou gatos, são construídos e mantidos adequadamente, para assegurar que não apresentam riscos ao bem-estar dos cães ou gatos.</w:t>
            </w:r>
          </w:p>
          <w:p>
            <w:pPr>
              <w:spacing w:after="0" w:before="20"/>
              <w:ind w:right="80" w:left="360" w:hanging="280"/>
            </w:pPr>
            <w:r>
              <w:rPr>
                <w:rFonts w:ascii="Calibri" w:hAnsi="Calibri"/>
                <w:b w:val="0"/>
                <w:i/>
                <w:color w:val="222222"/>
                <w:sz w:val="19"/>
              </w:rPr>
              <w:t>(ba) todos os componentes de construção do estabelecimento, incluindo o pavimento e divisões de espaço, bem como o equipamento utilizado para cães ou gatos, são mantidos limpos para assegurar que não apresentam riscos ao bem-estar dos cães ou gatos;</w:t>
            </w:r>
          </w:p>
          <w:p>
            <w:pPr>
              <w:spacing w:after="0" w:before="20"/>
              <w:ind w:right="80" w:left="360" w:hanging="280"/>
            </w:pPr>
            <w:r>
              <w:rPr>
                <w:rFonts w:ascii="Calibri" w:hAnsi="Calibri"/>
                <w:b w:val="0"/>
                <w:i/>
                <w:color w:val="222222"/>
                <w:sz w:val="19"/>
              </w:rPr>
              <w:t>c) em estabelecimentos de criação e venda onde os cães ou gatos são mantidos no interior, pó, temperatura, humidade relativa do ar e concentrações de gases não são prejudiciais aos cães ou gatos e a ventilação é suficiente para evitar sobreaquecimento;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360" w:hanging="280"/>
            </w:pPr>
            <w:r>
              <w:rPr>
                <w:rFonts w:ascii="Calibri" w:hAnsi="Calibri"/>
                <w:b w:val="0"/>
                <w:i/>
                <w:color w:val="222222"/>
                <w:sz w:val="19"/>
              </w:rPr>
              <w:t>(da) os cães ou gatos têm lugares de repouso limpos, confortáveis e secos, suficientemente grandes e numerosos para assegurar que todos podem deitar-se e descansar ao mesmo tempo numa posição natural;</w:t>
            </w:r>
          </w:p>
          <w:p>
            <w:pPr>
              <w:spacing w:after="0" w:before="20"/>
              <w:ind w:right="80" w:left="360" w:hanging="280"/>
            </w:pPr>
            <w:r>
              <w:rPr>
                <w:rFonts w:ascii="Calibri" w:hAnsi="Calibri"/>
                <w:b w:val="0"/>
                <w:i/>
                <w:color w:val="222222"/>
                <w:sz w:val="19"/>
              </w:rPr>
              <w:t>e) estruturas e medidas apropriadas estão em vigor para cães ou gatos mantidos no exterior para os proteger de condições climáticas adversas, incluindo para evitar stress térmico, queimaduras solares e frieiras.</w:t>
            </w:r>
          </w:p>
          <w:p>
            <w:pPr>
              <w:spacing w:after="0" w:before="140"/>
              <w:ind w:right="80" w:left="80" w:firstLine="0"/>
            </w:pPr>
            <w:r>
              <w:rPr>
                <w:rFonts w:ascii="Calibri" w:hAnsi="Calibri"/>
                <w:b w:val="0"/>
                <w:i/>
                <w:color w:val="222222"/>
                <w:sz w:val="19"/>
              </w:rPr>
              <w:t>3. Os operadores não devem manter cães ou gatos em contentores.</w:t>
            </w:r>
          </w:p>
          <w:p>
            <w:pPr>
              <w:spacing w:after="0" w:before="140"/>
              <w:ind w:right="80" w:left="80" w:firstLine="0"/>
            </w:pPr>
            <w:r>
              <w:rPr>
                <w:rFonts w:ascii="Calibri" w:hAnsi="Calibri"/>
                <w:b w:val="0"/>
                <w:i/>
                <w:color w:val="222222"/>
                <w:sz w:val="19"/>
              </w:rPr>
              <w:t>A título de derrogação, contentores podem ser usados apenas para transporte, isolamento a curto prazo de cães ou gatos individuais e durante participação em espetáculos, exposições e competições, para cachorros ou gatinhos com capacidade termorreguladora reduzida ou cachorros ou gatinhos juntamente com as suas mães, desde que o stress seja minimizado e o sofrimento seja evitado e os cães e gatos sejam capazes de se manter em pé e deitar-se numa posição natural.</w:t>
            </w:r>
          </w:p>
          <w:p>
            <w:pPr>
              <w:spacing w:after="0" w:before="14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pode apenas derrogar destes requisitos com base em aconselhamento escrito de um médico veterinário.</w:t>
            </w:r>
          </w:p>
          <w:p>
            <w:pPr>
              <w:spacing w:after="0" w:before="140"/>
              <w:ind w:right="80" w:left="80" w:firstLine="0"/>
            </w:pPr>
            <w:r>
              <w:rPr>
                <w:rFonts w:ascii="Calibri" w:hAnsi="Calibri"/>
                <w:b w:val="0"/>
                <w:i/>
                <w:color w:val="222222"/>
                <w:sz w:val="19"/>
              </w:rPr>
              <w:t>5. Quando gatos são mantidos em gatarias, os operadores devem desenhar e construir compartimentos individuais para permitir aos gatos mover-se livremente e expressar o seu comportamento natural.</w:t>
            </w:r>
          </w:p>
          <w:p>
            <w:pPr>
              <w:spacing w:after="0" w:before="140"/>
              <w:ind w:right="80" w:left="80" w:firstLine="0"/>
            </w:pPr>
            <w:r>
              <w:rPr>
                <w:rFonts w:ascii="Calibri" w:hAnsi="Calibri"/>
                <w:b w:val="0"/>
                <w:i/>
                <w:color w:val="222222"/>
                <w:sz w:val="19"/>
              </w:rPr>
              <w:t>6. Os operadores de estabelecimentos de criação e venda devem assegurar que em áreas interiores onde os cães ou gatos são mantidos, uma zona termoneural apropriada é mantida levando em conta o seu tipo de pelagem, idade, tamanho, raça e saúde.</w:t>
            </w:r>
          </w:p>
          <w:p>
            <w:pPr>
              <w:spacing w:after="0" w:before="140"/>
              <w:ind w:right="80" w:left="80" w:firstLine="0"/>
            </w:pPr>
            <w:r>
              <w:rPr>
                <w:rFonts w:ascii="Calibri" w:hAnsi="Calibri"/>
                <w:b w:val="0"/>
                <w:i/>
                <w:color w:val="222222"/>
                <w:sz w:val="19"/>
              </w:rPr>
              <w:t>6a. Os operadores de estabelecimentos de criação e venda devem usar, quando necessário, sistemas de aquecimento ou arrefecimento para manter boa qualidade do ar, uma temperatura apropriada em compartimentos interiores nos seus estabelecimentos, e remover humidade excessiva.</w:t>
            </w:r>
          </w:p>
          <w:p>
            <w:pPr>
              <w:spacing w:after="0" w:before="140"/>
              <w:ind w:right="80" w:left="80" w:firstLine="0"/>
            </w:pPr>
            <w:r>
              <w:rPr>
                <w:rFonts w:ascii="Calibri" w:hAnsi="Calibri"/>
                <w:b w:val="0"/>
                <w:i/>
                <w:color w:val="222222"/>
                <w:sz w:val="19"/>
              </w:rPr>
              <w:t>7. Os operadores devem assegurar que os cães ou gatos são expostos à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Os parágrafos 2(a), (b), (ba) (da) (e), 6, 6a e 7 não se aplicam a cães guardiões de gado, nem a cães de pastoreio, durante os períodos em que tais cães são utilizados para guarda ou pastoreio no contexto de transumância sazonal a pé.</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10.º, 11.º, 47-57 do RGBEAC (proposta, jun. 2025)</w:t>
            </w:r>
          </w:p>
          <w:p>
            <w:pPr>
              <w:spacing w:after="0" w:before="140"/>
              <w:ind w:right="80" w:left="80" w:firstLine="0"/>
            </w:pPr>
            <w:r>
              <w:rPr>
                <w:rFonts w:ascii="Calibri" w:hAnsi="Calibri"/>
                <w:b/>
                <w:i w:val="0"/>
                <w:color w:val="333333"/>
                <w:sz w:val="18"/>
              </w:rPr>
              <w:t>Artigo 7.º - Princípios: Condições de detenção e alojamento salvaguardam bem-estar animal.</w:t>
            </w:r>
          </w:p>
          <w:p>
            <w:pPr>
              <w:spacing w:after="0" w:before="200"/>
              <w:ind w:right="80" w:left="80" w:firstLine="0"/>
            </w:pPr>
            <w:r>
              <w:rPr>
                <w:rFonts w:ascii="Calibri" w:hAnsi="Calibri"/>
                <w:b/>
                <w:i w:val="0"/>
                <w:color w:val="333333"/>
                <w:sz w:val="18"/>
              </w:rPr>
              <w:t>Artigo 10.º - Obrigações especiais: Liberdade de movimento, proibição de contenção permanente, espaço adequado, enriquecimento ambiental e abrigo protetor.</w:t>
            </w:r>
          </w:p>
          <w:p>
            <w:pPr>
              <w:spacing w:after="0" w:before="200"/>
              <w:ind w:right="80" w:left="80" w:firstLine="0"/>
            </w:pPr>
            <w:r>
              <w:rPr>
                <w:rFonts w:ascii="Calibri" w:hAnsi="Calibri"/>
                <w:b/>
                <w:i w:val="0"/>
                <w:color w:val="333333"/>
                <w:sz w:val="18"/>
              </w:rPr>
              <w:t>Artigo 11.º - Obrigações especiais relativas ao alojamento doméstico.</w:t>
            </w:r>
          </w:p>
          <w:p>
            <w:pPr>
              <w:spacing w:after="0" w:before="140"/>
              <w:ind w:right="80" w:left="80" w:firstLine="0"/>
            </w:pPr>
            <w:r>
              <w:rPr>
                <w:rFonts w:ascii="Calibri" w:hAnsi="Calibri"/>
                <w:b w:val="0"/>
                <w:i w:val="0"/>
                <w:color w:val="222222"/>
                <w:sz w:val="19"/>
              </w:rPr>
              <w:t>Artigos 47-57 - Regulação detalhada de alojamentos para hospedagem (estruturas, proteção, maneio, responsabilidades veterinárias).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3.º, 14.º, 18.º, 28.º do Código do Animal (DL 214/2013)</w:t>
            </w:r>
          </w:p>
          <w:p>
            <w:pPr>
              <w:spacing w:after="0" w:before="140"/>
              <w:ind w:right="80" w:left="80" w:firstLine="0"/>
            </w:pPr>
            <w:r>
              <w:rPr>
                <w:rFonts w:ascii="Calibri" w:hAnsi="Calibri"/>
                <w:b/>
                <w:i w:val="0"/>
                <w:color w:val="333333"/>
                <w:sz w:val="18"/>
              </w:rPr>
              <w:t>Artigo 3.º - Define 'Alojamento' como qualquer instalação, edifício ou local onde animais se encontram mantidos.</w:t>
            </w:r>
          </w:p>
          <w:p>
            <w:pPr>
              <w:spacing w:after="0" w:before="200"/>
              <w:ind w:right="80" w:left="80" w:firstLine="0"/>
            </w:pPr>
            <w:r>
              <w:rPr>
                <w:rFonts w:ascii="Calibri" w:hAnsi="Calibri"/>
                <w:b/>
                <w:i w:val="0"/>
                <w:color w:val="333333"/>
                <w:sz w:val="18"/>
              </w:rPr>
              <w:t>Artigo 14.º - A temperatura, ventilação, luminosidade e obscuridade devem ser adequadas ao conforto e bem-estar.</w:t>
            </w:r>
          </w:p>
          <w:p>
            <w:pPr>
              <w:spacing w:after="0" w:before="200"/>
              <w:ind w:right="80" w:left="80" w:firstLine="0"/>
            </w:pPr>
            <w:r>
              <w:rPr>
                <w:rFonts w:ascii="Calibri" w:hAnsi="Calibri"/>
                <w:b/>
                <w:i w:val="0"/>
                <w:color w:val="333333"/>
                <w:sz w:val="18"/>
              </w:rPr>
              <w:t>Artigo 18.º - Alojamentos devem possuir instalações para armazenagem, lavagem, quarentena, enfermaria e higienização.</w:t>
            </w:r>
          </w:p>
          <w:p>
            <w:pPr>
              <w:spacing w:after="0" w:before="200"/>
              <w:ind w:right="80" w:left="80" w:firstLine="0"/>
            </w:pPr>
            <w:r>
              <w:rPr>
                <w:rFonts w:ascii="Calibri" w:hAnsi="Calibri"/>
                <w:b/>
                <w:i w:val="0"/>
                <w:color w:val="333333"/>
                <w:sz w:val="18"/>
              </w:rPr>
              <w:t>Artigo 28.º - Define separação por espécie e requisitos de estrutura para hospedagem.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Artigos 8.º e 15.º</w:t>
            </w:r>
          </w:p>
          <w:p>
            <w:pPr>
              <w:spacing w:after="0" w:before="140"/>
              <w:ind w:right="80" w:left="80" w:firstLine="0"/>
            </w:pPr>
            <w:r>
              <w:rPr>
                <w:rFonts w:ascii="Calibri" w:hAnsi="Calibri"/>
                <w:b/>
                <w:i w:val="0"/>
                <w:color w:val="333333"/>
                <w:sz w:val="18"/>
              </w:rPr>
              <w:t>Artigo 8.º — 1 — Os animais devem dispor do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w:t>
            </w:r>
          </w:p>
          <w:p>
            <w:pPr>
              <w:spacing w:after="0" w:before="2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Portaria complementar com especificações técnicas</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Não específico para condições técnicas de alojamento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3, 14, 18, 28)</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EXPANDIDA (especifica detalhes técnicos)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e RGBEAC implementam requisitos do Artigo 12.º. Faltam especificações técnicas detalhadas (temperatura, ventilação, iluminação) — recomenda-se Portaria complementar.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Princípios cobertos; faltam normas técnicas pormenorizadas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6.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140"/>
              <w:ind w:right="80" w:left="80" w:firstLine="0"/>
            </w:pPr>
            <w:r>
              <w:rPr>
                <w:rFonts w:ascii="Calibri" w:hAnsi="Calibri"/>
                <w:b w:val="0"/>
                <w:i/>
                <w:color w:val="222222"/>
                <w:sz w:val="19"/>
              </w:rPr>
              <w:t>2. Os operadores não devem manter cães ou gatos em áreas que restringem os seus movimentos naturais, exceto no caso do artigo 12.º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O amarrar por mais de 1 hora é proibido, exceto durante 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Os Estados-Membros podem conceder derrogações do parágrafo 3 para cães destinados a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Os operadores devem assegurar que condições estão em vigor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Os operadores devem assegurar que os cães ou gatos podem socializar em conformidade com o ponto 4 do Anexo I. Os operadores de estabelecimentos de criação devem documentar a sua estratégia para tal socialização.</w:t>
            </w:r>
          </w:p>
          <w:p>
            <w:pPr>
              <w:spacing w:after="0" w:before="140"/>
              <w:ind w:right="80" w:left="80" w:firstLine="0"/>
            </w:pPr>
            <w:r>
              <w:rPr>
                <w:rFonts w:ascii="Calibri" w:hAnsi="Calibri"/>
                <w:b w:val="0"/>
                <w:i/>
                <w:color w:val="222222"/>
                <w:sz w:val="19"/>
              </w:rPr>
              <w:t>5a. O primeiro parágrafo não se aplica a cães guardiões de gado mantidos em estabelecimentos de criação durante os períodos em que tais cães são utilizados para guarda ou treino, nem a cães de pastoreio durante transumância sazonal.</w:t>
            </w:r>
          </w:p>
          <w:p>
            <w:pPr>
              <w:spacing w:after="0" w:before="140"/>
              <w:ind w:right="80" w:left="80" w:firstLine="0"/>
            </w:pPr>
            <w:r>
              <w:rPr>
                <w:rFonts w:ascii="Calibri" w:hAnsi="Calibri"/>
                <w:b w:val="0"/>
                <w:i/>
                <w:color w:val="222222"/>
                <w:sz w:val="19"/>
              </w:rPr>
              <w:t>6. Os operadores devem assegurar que enriquecimento é fornecido e acessível a todos os cães ou gatos, criando um ambiente estimulante, permitindo comportamento específico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Artigos 10, 12, 13, 14, 15</w:t>
            </w:r>
          </w:p>
          <w:p>
            <w:pPr>
              <w:spacing w:after="0" w:before="140"/>
              <w:ind w:right="80" w:left="80" w:firstLine="0"/>
            </w:pPr>
            <w:r>
              <w:rPr>
                <w:rFonts w:ascii="Calibri" w:hAnsi="Calibri"/>
                <w:b w:val="0"/>
                <w:i w:val="0"/>
                <w:color w:val="222222"/>
                <w:sz w:val="19"/>
              </w:rPr>
              <w:t>Especificação clara: 'exercício físico e estímulo mental'.</w:t>
            </w:r>
          </w:p>
          <w:p>
            <w:pPr>
              <w:spacing w:after="0" w:before="20"/>
              <w:ind w:right="80" w:left="80" w:firstLine="0"/>
            </w:pPr>
            <w:r>
              <w:rPr>
                <w:rFonts w:ascii="Calibri" w:hAnsi="Calibri"/>
                <w:b w:val="0"/>
                <w:i w:val="0"/>
                <w:color w:val="222222"/>
                <w:sz w:val="19"/>
              </w:rPr>
              <w:t>'Contato social adequado'.</w:t>
            </w:r>
          </w:p>
          <w:p>
            <w:pPr>
              <w:spacing w:after="0" w:before="20"/>
              <w:ind w:right="80" w:left="80" w:firstLine="0"/>
            </w:pPr>
            <w:r>
              <w:rPr>
                <w:rFonts w:ascii="Calibri" w:hAnsi="Calibri"/>
                <w:b w:val="0"/>
                <w:i w:val="0"/>
                <w:color w:val="222222"/>
                <w:sz w:val="19"/>
              </w:rPr>
              <w:t>Métodos de 'reforço positivo' (OBRIGATÓRIO).</w:t>
            </w:r>
          </w:p>
          <w:p>
            <w:pPr>
              <w:spacing w:after="0" w:before="20"/>
              <w:ind w:right="80" w:left="80" w:firstLine="0"/>
            </w:pPr>
            <w:r>
              <w:rPr>
                <w:rFonts w:ascii="Calibri" w:hAnsi="Calibri"/>
                <w:b w:val="0"/>
                <w:i w:val="0"/>
                <w:color w:val="222222"/>
                <w:sz w:val="19"/>
              </w:rPr>
              <w:t>Proibição explícita de 'métodos aversivos, punitivos ou violentos'.</w:t>
            </w:r>
          </w:p>
          <w:p>
            <w:pPr>
              <w:spacing w:after="0" w:before="20"/>
              <w:ind w:right="80" w:left="80" w:firstLine="0"/>
            </w:pPr>
            <w:r>
              <w:rPr>
                <w:rFonts w:ascii="Calibri" w:hAnsi="Calibri"/>
                <w:b w:val="0"/>
                <w:i w:val="0"/>
                <w:color w:val="222222"/>
                <w:sz w:val="19"/>
              </w:rPr>
              <w:t>Documentação obrigatória de estratégia de socialização (criadores).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5.º e 13.º do Código do Animal (DL 214/2013)</w:t>
            </w:r>
          </w:p>
          <w:p>
            <w:pPr>
              <w:spacing w:after="0" w:before="140"/>
              <w:ind w:right="80" w:left="80" w:firstLine="0"/>
            </w:pPr>
            <w:r>
              <w:rPr>
                <w:rFonts w:ascii="Calibri" w:hAnsi="Calibri"/>
                <w:b/>
                <w:i w:val="0"/>
                <w:color w:val="333333"/>
                <w:sz w:val="18"/>
              </w:rPr>
              <w:t>Artigo 5.º - Princípios que proíbem violência e maus-tratos, garantem bem-estar.</w:t>
            </w:r>
          </w:p>
          <w:p>
            <w:pPr>
              <w:spacing w:after="0" w:before="200"/>
              <w:ind w:right="80" w:left="80" w:firstLine="0"/>
            </w:pPr>
            <w:r>
              <w:rPr>
                <w:rFonts w:ascii="Calibri" w:hAnsi="Calibri"/>
                <w:b/>
                <w:i w:val="0"/>
                <w:color w:val="333333"/>
                <w:sz w:val="18"/>
              </w:rPr>
              <w:t>Artigo 13.º - Espaço para exercício físico e expressão de comportamentos naturais.</w:t>
            </w:r>
          </w:p>
          <w:p>
            <w:pPr>
              <w:spacing w:after="0" w:before="140"/>
              <w:ind w:right="80" w:left="80" w:firstLine="0"/>
            </w:pPr>
            <w:r>
              <w:rPr>
                <w:rFonts w:ascii="Calibri" w:hAnsi="Calibri"/>
                <w:b w:val="0"/>
                <w:i w:val="0"/>
                <w:color w:val="222222"/>
                <w:sz w:val="19"/>
              </w:rPr>
              <w:t>Cobertura GENÉRICA: não especifica enriquecimento, socialização ou método de treino baseado em reforço positivo.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8.º</w:t>
            </w:r>
          </w:p>
          <w:p>
            <w:pPr>
              <w:spacing w:after="0" w:before="140"/>
              <w:ind w:right="80" w:left="80" w:firstLine="0"/>
            </w:pPr>
            <w:r>
              <w:rPr>
                <w:rFonts w:ascii="Calibri" w:hAnsi="Calibri"/>
                <w:b/>
                <w:i w:val="0"/>
                <w:color w:val="333333"/>
                <w:sz w:val="18"/>
              </w:rPr>
              <w:t>Artigo 8.º — 1 — Os animais devem dispor de um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Regulamentação específica sobre métodos de treino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Legislação vigente oferece cobertura genérica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Genérico, sem especificações sobre socialização e enriquecimento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SIGNIFICATIVAMENTE EXPANDIDA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Legislação portuguesa oferece cobertura genérica. RGBEAC (2025) oferece avanço substancial com obrigatoriedade de reforço positivo e documentação de estratégia de socialização. Falta ainda regulamentação pormenorizada.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RGBEAC alinha melhor; implementação de reforço positivo obrigatório recomendada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360" w:hanging="280"/>
            </w:pPr>
            <w:r>
              <w:rPr>
                <w:rFonts w:ascii="Calibri" w:hAnsi="Calibri"/>
                <w:b w:val="0"/>
                <w:i w:val="0"/>
                <w:color w:val="222222"/>
                <w:sz w:val="19"/>
              </w:rPr>
              <w:t>(da) using prong collars;</w:t>
            </w:r>
          </w:p>
          <w:p>
            <w:pPr>
              <w:spacing w:after="0" w:before="20"/>
              <w:ind w:right="80" w:left="360" w:hanging="28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140"/>
              <w:ind w:right="80" w:left="80" w:firstLine="0"/>
            </w:pPr>
            <w:r>
              <w:rPr>
                <w:rFonts w:ascii="Calibri" w:hAnsi="Calibri"/>
                <w:b w:val="0"/>
                <w:i/>
                <w:color w:val="222222"/>
                <w:sz w:val="19"/>
              </w:rPr>
              <w:t>1b. A título de derrogação do parágrafo 1, os Estados-Membros podem permitir o corte de orelhas por entalhe ou ponta das orelhas de gatos no contexto de marcação de gatos vadios quando esterilizados sob um programa de captura-esterilização-libertação.</w:t>
            </w:r>
          </w:p>
          <w:p>
            <w:pPr>
              <w:spacing w:after="0" w:before="140"/>
              <w:ind w:right="80" w:left="80" w:firstLine="0"/>
            </w:pPr>
            <w:r>
              <w:rPr>
                <w:rFonts w:ascii="Calibri" w:hAnsi="Calibri"/>
                <w:b w:val="0"/>
                <w:i/>
                <w:color w:val="222222"/>
                <w:sz w:val="19"/>
              </w:rPr>
              <w:t>2.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140"/>
              <w:ind w:right="80" w:left="80" w:firstLine="0"/>
            </w:pPr>
            <w:r>
              <w:rPr>
                <w:rFonts w:ascii="Calibri" w:hAnsi="Calibri"/>
                <w:b w:val="0"/>
                <w:i/>
                <w:color w:val="222222"/>
                <w:sz w:val="19"/>
              </w:rPr>
              <w:t>3.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 chutar, bater, arrastar, atirar, apertar cães ou gatos;</w:t>
            </w:r>
          </w:p>
          <w:p>
            <w:pPr>
              <w:spacing w:after="0" w:before="20"/>
              <w:ind w:right="80" w:left="360" w:hanging="280"/>
            </w:pPr>
            <w:r>
              <w:rPr>
                <w:rFonts w:ascii="Calibri" w:hAnsi="Calibri"/>
                <w:b w:val="0"/>
                <w:i/>
                <w:color w:val="222222"/>
                <w:sz w:val="19"/>
              </w:rPr>
              <w:t>c) aplicar corrente elétrica a cães ou gatos a menos que realizado por razões médicas;</w:t>
            </w:r>
          </w:p>
          <w:p>
            <w:pPr>
              <w:spacing w:after="0" w:before="20"/>
              <w:ind w:right="80" w:left="360" w:hanging="280"/>
            </w:pPr>
            <w:r>
              <w:rPr>
                <w:rFonts w:ascii="Calibri" w:hAnsi="Calibri"/>
                <w:b w:val="0"/>
                <w:i/>
                <w:color w:val="222222"/>
                <w:sz w:val="19"/>
              </w:rPr>
              <w:t>d) uso de focinheiras,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(da) uso de colares de espinhos;</w:t>
            </w:r>
          </w:p>
          <w:p>
            <w:pPr>
              <w:spacing w:after="0" w:before="20"/>
              <w:ind w:right="80" w:left="360" w:hanging="280"/>
            </w:pPr>
            <w:r>
              <w:rPr>
                <w:rFonts w:ascii="Calibri" w:hAnsi="Calibri"/>
                <w:b w:val="0"/>
                <w:i/>
                <w:color w:val="222222"/>
                <w:sz w:val="19"/>
              </w:rPr>
              <w:t>(db) uso de colares de estrangulamento sem paragem de segurança;</w:t>
            </w:r>
          </w:p>
          <w:p>
            <w:pPr>
              <w:spacing w:after="0" w:before="20"/>
              <w:ind w:right="80" w:left="360" w:hanging="280"/>
            </w:pPr>
            <w:r>
              <w:rPr>
                <w:rFonts w:ascii="Calibri" w:hAnsi="Calibri"/>
                <w:b w:val="0"/>
                <w:i/>
                <w:color w:val="222222"/>
                <w:sz w:val="19"/>
              </w:rPr>
              <w:t>e) levantar cães ou gatos pelas extremidades, cabeça, orelhas, cauda ou pêlo, ou levantar cães ou gatos adultos pela pele.</w:t>
            </w:r>
          </w:p>
          <w:p>
            <w:pPr>
              <w:spacing w:after="0" w:before="140"/>
              <w:ind w:right="80" w:left="80" w:firstLine="0"/>
            </w:pPr>
            <w:r>
              <w:rPr>
                <w:rFonts w:ascii="Calibri" w:hAnsi="Calibri"/>
                <w:b w:val="0"/>
                <w:i/>
                <w:color w:val="222222"/>
                <w:sz w:val="19"/>
              </w:rPr>
              <w:t>4. Os Estados-Membros podem conceder derrogações do parágrafo 3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Lista idêntica de mutilações proibidas ao Código.</w:t>
            </w:r>
          </w:p>
          <w:p>
            <w:pPr>
              <w:spacing w:after="0" w:before="20"/>
              <w:ind w:right="80" w:left="80" w:firstLine="0"/>
            </w:pPr>
            <w:r>
              <w:rPr>
                <w:rFonts w:ascii="Calibri" w:hAnsi="Calibri"/>
                <w:b w:val="0"/>
                <w:i w:val="0"/>
                <w:color w:val="222222"/>
                <w:sz w:val="19"/>
              </w:rPr>
              <w:t>Referência a 'boas práticas internacionais' (alinhamento com Reg. 2023/0447).</w:t>
            </w:r>
          </w:p>
          <w:p>
            <w:pPr>
              <w:spacing w:after="0" w:before="20"/>
              <w:ind w:right="80" w:left="80" w:firstLine="0"/>
            </w:pPr>
            <w:r>
              <w:rPr>
                <w:rFonts w:ascii="Calibri" w:hAnsi="Calibri"/>
                <w:b w:val="0"/>
                <w:i w:val="0"/>
                <w:color w:val="222222"/>
                <w:sz w:val="19"/>
              </w:rPr>
              <w:t>Alargamento: 'qualquer amputação sem razão médica veterinária'.</w:t>
            </w:r>
          </w:p>
          <w:p>
            <w:pPr>
              <w:spacing w:after="0" w:before="20"/>
              <w:ind w:right="80" w:left="80" w:firstLine="0"/>
            </w:pPr>
            <w:r>
              <w:rPr>
                <w:rFonts w:ascii="Calibri" w:hAnsi="Calibri"/>
                <w:b w:val="0"/>
                <w:i w:val="0"/>
                <w:color w:val="222222"/>
                <w:sz w:val="19"/>
              </w:rPr>
              <w:t>Ênfase em anestesia e analgesia prolongada.</w:t>
            </w:r>
          </w:p>
          <w:p>
            <w:pPr>
              <w:spacing w:after="0" w:before="20"/>
              <w:ind w:right="80" w:left="80" w:firstLine="0"/>
            </w:pPr>
            <w:r>
              <w:rPr>
                <w:rFonts w:ascii="Calibri" w:hAnsi="Calibri"/>
                <w:b w:val="0"/>
                <w:i w:val="0"/>
                <w:color w:val="222222"/>
                <w:sz w:val="19"/>
              </w:rPr>
              <w:t>Documentação obrigatória de indicação médica.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51.º - Intervenções cirúrgicas exclusivamente por médico veterinário.</w:t>
            </w:r>
          </w:p>
          <w:p>
            <w:pPr>
              <w:spacing w:after="0" w:before="200"/>
              <w:ind w:right="80" w:left="80" w:firstLine="0"/>
            </w:pPr>
            <w:r>
              <w:rPr>
                <w:rFonts w:ascii="Calibri" w:hAnsi="Calibri"/>
                <w:b/>
                <w:i w:val="0"/>
                <w:color w:val="333333"/>
                <w:sz w:val="18"/>
              </w:rPr>
              <w:t>Artigo 52.º - Proibição específica de mutilações:</w:t>
            </w:r>
          </w:p>
          <w:p>
            <w:pPr>
              <w:spacing w:after="0" w:before="20"/>
              <w:ind w:right="80" w:left="80" w:firstLine="0"/>
            </w:pPr>
            <w:r>
              <w:rPr>
                <w:rFonts w:ascii="Calibri" w:hAnsi="Calibri"/>
                <w:b w:val="0"/>
                <w:i w:val="0"/>
                <w:color w:val="222222"/>
                <w:sz w:val="19"/>
              </w:rPr>
              <w:t>- Corte de orelhas (exceto fins medicinais)</w:t>
            </w:r>
          </w:p>
          <w:p>
            <w:pPr>
              <w:spacing w:after="0" w:before="20"/>
              <w:ind w:right="80" w:left="80" w:firstLine="0"/>
            </w:pPr>
            <w:r>
              <w:rPr>
                <w:rFonts w:ascii="Calibri" w:hAnsi="Calibri"/>
                <w:b w:val="0"/>
                <w:i w:val="0"/>
                <w:color w:val="222222"/>
                <w:sz w:val="19"/>
              </w:rPr>
              <w:t>- Corte de cauda (revogado em 2015)</w:t>
            </w:r>
          </w:p>
          <w:p>
            <w:pPr>
              <w:spacing w:after="0" w:before="20"/>
              <w:ind w:right="80" w:left="80" w:firstLine="0"/>
            </w:pPr>
            <w:r>
              <w:rPr>
                <w:rFonts w:ascii="Calibri" w:hAnsi="Calibri"/>
                <w:b w:val="0"/>
                <w:i w:val="0"/>
                <w:color w:val="222222"/>
                <w:sz w:val="19"/>
              </w:rPr>
              <w:t>- Ressecção de cordas vocais</w:t>
            </w:r>
          </w:p>
          <w:p>
            <w:pPr>
              <w:spacing w:after="0" w:before="20"/>
              <w:ind w:right="80" w:left="80" w:firstLine="0"/>
            </w:pPr>
            <w:r>
              <w:rPr>
                <w:rFonts w:ascii="Calibri" w:hAnsi="Calibri"/>
                <w:b w:val="0"/>
                <w:i w:val="0"/>
                <w:color w:val="222222"/>
                <w:sz w:val="19"/>
              </w:rPr>
              <w:t>- Remoção de unhas/dentes</w:t>
            </w:r>
          </w:p>
          <w:p>
            <w:pPr>
              <w:spacing w:after="0" w:before="20"/>
              <w:ind w:right="80" w:left="80" w:firstLine="0"/>
            </w:pPr>
            <w:r>
              <w:rPr>
                <w:rFonts w:ascii="Calibri" w:hAnsi="Calibri"/>
                <w:b w:val="0"/>
                <w:i w:val="0"/>
                <w:color w:val="222222"/>
                <w:sz w:val="19"/>
              </w:rPr>
              <w:t>- Exceções: reprodução e interesse do animal (com documentação)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18.º — 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DL 276/2001 cobre amputações documentadas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51-52)</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 EXPANSÃO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(Arts. 51-52) implementa integralmente Art. 15.º. RGBEAC alinha substancialmente com Regulamento europeu. Sem divergências substanciais.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Cobertura legislativa adequada</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