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0F7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E0F7FA"/>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Texto original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Texto original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Texto original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Texto original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w:t>
            </w:r>
          </w:p>
          <w:p>
            <w:pPr>
              <w:spacing w:after="0" w:before="140"/>
              <w:ind w:right="80" w:left="80" w:firstLine="0"/>
            </w:pPr>
            <w:r>
              <w:rPr>
                <w:rFonts w:ascii="Calibri" w:hAnsi="Calibri"/>
                <w:b w:val="0"/>
                <w:i/>
                <w:color w:val="222222"/>
                <w:sz w:val="19"/>
              </w:rPr>
              <w:t>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Texto original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w:t>
            </w:r>
          </w:p>
          <w:p>
            <w:pPr>
              <w:spacing w:after="0" w:before="140"/>
              <w:ind w:right="80" w:left="80" w:firstLine="0"/>
            </w:pPr>
            <w:r>
              <w:rPr>
                <w:rFonts w:ascii="Calibri" w:hAnsi="Calibri"/>
                <w:b w:val="0"/>
                <w:i w:val="0"/>
                <w:color w:val="222222"/>
                <w:sz w:val="19"/>
              </w:rPr>
              <w:t>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(Health) do Regulamento 2023/0447 (PE/Conselho)</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AAAAAA"/>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AAAAAA"/>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AAAAAA"/>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AAAAAA"/>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Texto original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AAAAAA"/>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AAAAAA"/>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AAAAAA"/>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AAAAAA"/>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