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r>
      <w:tr>
        <w:tc>
          <w:tcPr>
            <w:tcW w:type="dxa" w:w="5046"/>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17.º do Regulamento 2023/0447</w:t>
              <w:br/>
            </w:r>
            <w:r>
              <w:rPr>
                <w:rFonts w:ascii="Calibri" w:hAnsi="Calibri"/>
                <w:b w:val="0"/>
                <w:i w:val="0"/>
                <w:color w:val="222222"/>
                <w:sz w:val="19"/>
              </w:rPr>
              <w:t>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before="120" w:after="0"/>
              <w:ind w:left="8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before="120" w:after="0"/>
              <w:ind w:left="8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before="120" w:after="0"/>
              <w:ind w:left="8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tc>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17.º do RGBEAC (proposta, jun. 2025)</w:t>
              <w:br/>
            </w:r>
            <w:r>
              <w:rPr>
                <w:rFonts w:ascii="Calibri" w:hAnsi="Calibri"/>
                <w:b w:val="0"/>
                <w:i w:val="0"/>
                <w:color w:val="222222"/>
                <w:sz w:val="19"/>
              </w:rPr>
              <w:t>1 — A identificação dos animais de companhia, pela sua marcação, quando aplicável, e registo no SIAC, deve ser realizada:</w:t>
            </w:r>
          </w:p>
          <w:p>
            <w:pPr>
              <w:spacing w:before="120" w:after="0"/>
              <w:ind w:left="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before="120" w:after="0"/>
              <w:ind w:left="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before="120" w:after="0"/>
              <w:ind w:left="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53.º do Código do Animal (DL n.º 214/2013)</w:t>
              <w:br/>
            </w:r>
            <w:r>
              <w:rPr>
                <w:rFonts w:ascii="Calibri" w:hAnsi="Calibri"/>
                <w:b w:val="0"/>
                <w:i w:val="0"/>
                <w:color w:val="222222"/>
                <w:sz w:val="19"/>
              </w:rPr>
              <w:t>1 — Todos os cães devem ser identificados e registados, entre os três e os seis meses de idade.</w:t>
            </w:r>
          </w:p>
          <w:p>
            <w:pPr>
              <w:spacing w:before="120" w:after="0"/>
              <w:ind w:left="8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before="120" w:after="0"/>
              <w:ind w:left="80"/>
            </w:pPr>
            <w:r>
              <w:rPr>
                <w:rFonts w:ascii="Calibri" w:hAnsi="Calibri"/>
                <w:b w:val="0"/>
                <w:i w:val="0"/>
                <w:color w:val="222222"/>
                <w:sz w:val="19"/>
              </w:rPr>
              <w:t>4 — Os cães e gatos são identificados através de método electrónico e registados na base de dados nacional.</w:t>
            </w:r>
          </w:p>
          <w:p>
            <w:pPr>
              <w:spacing w:before="120" w:after="0"/>
              <w:ind w:left="80"/>
            </w:pPr>
            <w:r>
              <w:rPr>
                <w:rFonts w:ascii="Calibri" w:hAnsi="Calibri"/>
                <w:b w:val="0"/>
                <w:i w:val="0"/>
                <w:color w:val="222222"/>
                <w:sz w:val="19"/>
              </w:rPr>
              <w:t>5 — A identificação electrónica é efetuada através da aplicação subcutânea de um microchip no centro da face lateral esquerda do pescoço.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before="120" w:after="0"/>
              <w:ind w:left="8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before="120" w:after="0"/>
              <w:ind w:left="8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before="120" w:after="0"/>
              <w:ind w:left="8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fixa o prazo de identificação em 3 meses para nascimentos e 30 dias para entrada em estabelecimentos. O @codigo fixa entre 3 e 6 meses, sem distinguir o contexto de estabelecimento. O @rgbeac alinha com o @regulamento mas aplica-se apenas a cães, gatos e furões.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r>
      <w:tr>
        <w:tc>
          <w:tcPr>
            <w:tcW w:type="dxa" w:w="5046"/>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6.º do Regulamento 2023/0447</w:t>
              <w:br/>
            </w:r>
            <w:r>
              <w:rPr>
                <w:rFonts w:ascii="Calibri" w:hAnsi="Calibri"/>
                <w:b w:val="0"/>
                <w:i w:val="0"/>
                <w:color w:val="222222"/>
                <w:sz w:val="19"/>
              </w:rPr>
              <w:t>Operators shall be responsible for the welfare of dogs or cats kept in the establishments under their responsibility and under their control and to minimise any risks to their welfare.</w:t>
            </w:r>
          </w:p>
          <w:p>
            <w:pPr>
              <w:spacing w:before="120" w:after="0"/>
              <w:ind w:left="8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w:t>
            </w:r>
          </w:p>
        </w:tc>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10.º do RGBEAC (proposta, jun. 2025)</w:t>
              <w:br/>
            </w:r>
            <w:r>
              <w:rPr>
                <w:rFonts w:ascii="Calibri" w:hAnsi="Calibri"/>
                <w:b w:val="0"/>
                <w:i w:val="0"/>
                <w:color w:val="222222"/>
                <w:sz w:val="19"/>
              </w:rPr>
              <w:t>1 — O detentor do animal de companhia deve:</w:t>
            </w:r>
          </w:p>
          <w:p>
            <w:pPr>
              <w:spacing w:before="120" w:after="0"/>
              <w:ind w:left="80"/>
            </w:pPr>
            <w:r>
              <w:rPr>
                <w:rFonts w:ascii="Calibri" w:hAnsi="Calibri"/>
                <w:b w:val="0"/>
                <w:i w:val="0"/>
                <w:color w:val="222222"/>
                <w:sz w:val="19"/>
              </w:rPr>
              <w:t>a) Assegurar o bem-estar do animal, de acordo com a sua espécie, raça, idade e necessidades físicas e etológicas, proporcionando-lhe:</w:t>
              <w:br/>
              <w:t>— Atenção, supervisão, controlo, exercício físico e estímulo mental;</w:t>
              <w:br/>
              <w:t>— Alimentos saudáveis, adequados e convenientes ao seu normal desenvolvimento e acesso permanente a água potável;</w:t>
              <w:br/>
              <w:t>— Condições higiossanitárias que atendam, no mínimo, ao estabelecido no presente decreto-lei e na demais legislação aplicável;</w:t>
              <w:b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5.º do Código do Animal (DL n.º 214/2013)</w:t>
              <w:br/>
            </w: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before="120" w:after="0"/>
              <w:ind w:left="8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before="120" w:after="0"/>
              <w:ind w:left="8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são responsáveis pelo bem-estar dos cães ou gatos mantidos nos estabelecimentos sob a sua responsabilidade e controlo e devem minimizar quaisquer riscos para o seu bem-estar.</w:t>
            </w:r>
          </w:p>
          <w:p>
            <w:pPr>
              <w:spacing w:before="120" w:after="0"/>
              <w:ind w:left="8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especifica o limite de 5 animais por família de acolhimento e atribui responsabilidade ao operador (não à família). O @rgbeac e o @codigo centram a responsabilidade no detentor individual, sem distinguir o contexto de acolhimento temporário nem fixar limites numéricos.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r>
      <w:tr>
        <w:tc>
          <w:tcPr>
            <w:tcW w:type="dxa" w:w="5046"/>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7.º do Regulamento 2023/0447</w:t>
              <w:br/>
            </w:r>
            <w:r>
              <w:rPr>
                <w:rFonts w:ascii="Calibri" w:hAnsi="Calibri"/>
                <w:b w:val="0"/>
                <w:i w:val="0"/>
                <w:color w:val="222222"/>
                <w:sz w:val="19"/>
              </w:rPr>
              <w:t>Operators shall notify the competent authorities of their activity, providing at least the following information:</w:t>
            </w:r>
          </w:p>
          <w:p>
            <w:pPr>
              <w:spacing w:before="120" w:after="0"/>
              <w:ind w:left="80"/>
            </w:pPr>
            <w:r>
              <w:rPr>
                <w:rFonts w:ascii="Calibri" w:hAnsi="Calibri"/>
                <w:b w:val="0"/>
                <w:i w:val="0"/>
                <w:color w:val="222222"/>
                <w:sz w:val="19"/>
              </w:rPr>
              <w:t>(a) name, address and contact details of the operator;</w:t>
              <w:br/>
              <w:t>(b) the location(s) of the establishment(s);</w:t>
              <w:br/>
              <w:t>(c) the type(s) of establishment: breeding establishment, selling establishment, shelter or foster home;</w:t>
              <w:br/>
              <w:t>(d) the species and, for breeding establishments, the breeds of the dogs or cats kept in the establishment(s);</w:t>
              <w:br/>
              <w:t>(e) the capacity of the establishment expressed as the maximum number of dogs and cats which can be kept in the establishment(s);</w:t>
              <w:br/>
              <w:t>(ea) for breeding establishments, the estimated number of litters to be placed on the market per year.</w:t>
            </w:r>
          </w:p>
        </w:tc>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43.º do RGBEAC (proposta, jun. 2025)</w:t>
              <w:br/>
            </w:r>
            <w:r>
              <w:rPr>
                <w:rFonts w:ascii="Calibri" w:hAnsi="Calibri"/>
                <w:b w:val="0"/>
                <w:i w:val="0"/>
                <w:color w:val="222222"/>
                <w:sz w:val="19"/>
              </w:rPr>
              <w:t>1 — Os centros de bem-estar animal procedem à esterilização dos animais recolhidos que se presuma terem sido abandonados, nos termos do artigo 41.º.</w:t>
            </w:r>
          </w:p>
          <w:p>
            <w:pPr>
              <w:spacing w:before="120" w:after="0"/>
              <w:ind w:left="8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before="120" w:after="0"/>
              <w:ind w:left="8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8.º do Código do Animal (DL n.º 214/2013)</w:t>
              <w:br/>
            </w:r>
            <w:r>
              <w:rPr>
                <w:rFonts w:ascii="Calibri" w:hAnsi="Calibri"/>
                <w:b w:val="0"/>
                <w:i w:val="0"/>
                <w:color w:val="222222"/>
                <w:sz w:val="19"/>
              </w:rPr>
              <w:t>1 — A reprodução de animais deve ser realizada de forma planeada.</w:t>
            </w:r>
          </w:p>
          <w:p>
            <w:pPr>
              <w:spacing w:before="120" w:after="0"/>
              <w:ind w:left="80"/>
            </w:pPr>
            <w:r>
              <w:rPr>
                <w:rFonts w:ascii="Calibri" w:hAnsi="Calibri"/>
                <w:b w:val="0"/>
                <w:i w:val="0"/>
                <w:color w:val="222222"/>
                <w:sz w:val="19"/>
              </w:rPr>
              <w:t>2 — A reprodução de animais obedece ao seguinte:</w:t>
            </w:r>
          </w:p>
          <w:p>
            <w:pPr>
              <w:spacing w:before="120" w:after="0"/>
              <w:ind w:left="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before="120" w:after="0"/>
              <w:ind w:left="80"/>
            </w:pPr>
            <w:r>
              <w:rPr>
                <w:rFonts w:ascii="Calibri" w:hAnsi="Calibri"/>
                <w:b w:val="0"/>
                <w:i w:val="0"/>
                <w:color w:val="222222"/>
                <w:sz w:val="19"/>
              </w:rPr>
              <w:t>b) Deve ser respeitada a regra do porte semelhante dos progenitores, para prevenir a possibilidade de distócia;</w:t>
            </w:r>
          </w:p>
          <w:p>
            <w:pPr>
              <w:spacing w:before="120" w:after="0"/>
              <w:ind w:left="80"/>
            </w:pPr>
            <w:r>
              <w:rPr>
                <w:rFonts w:ascii="Calibri" w:hAnsi="Calibri"/>
                <w:b w:val="0"/>
                <w:i w:val="0"/>
                <w:color w:val="222222"/>
                <w:sz w:val="19"/>
              </w:rPr>
              <w:t>c) Devem ser excluídos da reprodução os animais que revelem defeitos genéticos e malformações, designadamente monorquidia e displasia.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devem notificar as autoridades competentes da sua atividade, fornecendo pelo menos as seguintes informações:</w:t>
            </w:r>
          </w:p>
          <w:p>
            <w:pPr>
              <w:spacing w:before="120" w:after="0"/>
              <w:ind w:left="80"/>
            </w:pPr>
            <w:r>
              <w:rPr>
                <w:rFonts w:ascii="Calibri" w:hAnsi="Calibri"/>
                <w:b w:val="0"/>
                <w:i/>
                <w:color w:val="222222"/>
                <w:sz w:val="19"/>
              </w:rPr>
              <w:t>(a) nome, morada e contactos do operador;</w:t>
              <w:br/>
              <w:t>(b) a(s) localização(ões) do(s) estabelecimento(s);</w:t>
              <w:br/>
              <w:t>(c) o tipo de estabelecimento: criação, venda, abrigo ou família de acolhimento;</w:t>
              <w:br/>
              <w:t>(d) as espécies e, para os estabelecimentos de criação, as raças dos cães ou gatos mantidos;</w:t>
              <w:br/>
              <w:t>(e) a capacidade do estabelecimento, expressa no número máximo de cães e gatos que podem ser alojados;</w:t>
              <w:b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exige notificação prévia das autoridades com dados detalhados (capacidade, raças, ninhadas estimadas). O @codigo regula condições de reprodução mas não prevê registo ou notificação de estabelecimentos criadores. O @rgbeac trata da esterilização de errantes, não da notificação de criadores — há uma lacuna normativa face ao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