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0F7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E0F7FA"/>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6.º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 Member States where the foster home is located may provide for a greater number of dogs, cats or litters to be placed in the foster home, provided that the premises of the foster home provide sufficient space, including outdoor space, and that the number of animal caretakers in the foster home is sufficient, to ensure the welfare of the dogs or cats.</w:t>
            </w:r>
          </w:p>
          <w:p>
            <w:pPr>
              <w:spacing w:after="0" w:before="140"/>
              <w:ind w:right="80" w:left="80" w:firstLine="0"/>
            </w:pPr>
            <w:r>
              <w:rPr>
                <w:rFonts w:ascii="Calibri" w:hAnsi="Calibri"/>
                <w:b w:val="0"/>
                <w:i w:val="0"/>
                <w:color w:val="222222"/>
                <w:sz w:val="19"/>
              </w:rPr>
              <w:t>1b. Operators shall not subject any dog or cat to cruelty, abuse or mistreatment, including through participation in activities likely to result in cruelty, abuse or mistreatment, to the dogs or cats bred or kept by the operator.</w:t>
            </w:r>
          </w:p>
          <w:p>
            <w:pPr>
              <w:spacing w:after="0" w:before="140"/>
              <w:ind w:right="80" w:left="80" w:firstLine="0"/>
            </w:pPr>
            <w:r>
              <w:rPr>
                <w:rFonts w:ascii="Calibri" w:hAnsi="Calibri"/>
                <w:b w:val="0"/>
                <w:i w:val="0"/>
                <w:color w:val="222222"/>
                <w:sz w:val="19"/>
              </w:rPr>
              <w:t>1c. Operators shall not abandon dogs or cats.</w:t>
            </w:r>
          </w:p>
          <w:p>
            <w:pPr>
              <w:spacing w:after="0" w:before="140"/>
              <w:ind w:right="80" w:left="80" w:firstLine="0"/>
            </w:pPr>
            <w:r>
              <w:rPr>
                <w:rFonts w:ascii="Calibri" w:hAnsi="Calibri"/>
                <w:b w:val="0"/>
                <w:i w:val="0"/>
                <w:color w:val="222222"/>
                <w:sz w:val="19"/>
              </w:rPr>
              <w:t>1d. Operators who are due to cease the activities of their establishment shall ensure the rehoming of the dogs or cats kept therein either by taking up the pet ownership or by transferring the responsibility or ownership of dogs and cats to other operators or acquirers.</w:t>
            </w:r>
          </w:p>
          <w:p>
            <w:pPr>
              <w:spacing w:after="0" w:before="140"/>
              <w:ind w:right="80" w:left="80" w:firstLine="0"/>
            </w:pPr>
            <w:r>
              <w:rPr>
                <w:rFonts w:ascii="Calibri" w:hAnsi="Calibri"/>
                <w:b w:val="0"/>
                <w:i w:val="0"/>
                <w:color w:val="222222"/>
                <w:sz w:val="19"/>
              </w:rPr>
              <w:t>2. Operators shall ensure that dogs or cats are handled by a suitable number of animal caretakers and in order to meet the welfare needs of dogs or cats kept in their establishments and who have the competences required under Article 9.</w:t>
            </w:r>
          </w:p>
          <w:p>
            <w:pPr>
              <w:spacing w:after="0" w:before="140"/>
              <w:ind w:right="80" w:left="80" w:firstLine="0"/>
            </w:pPr>
            <w:r>
              <w:rPr>
                <w:rFonts w:ascii="Calibri" w:hAnsi="Calibri"/>
                <w:b w:val="0"/>
                <w:i w:val="0"/>
                <w:color w:val="222222"/>
                <w:sz w:val="19"/>
              </w:rPr>
              <w:t>2a. Operators shall ensure the welfare of the dogs or cats under their responsibility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2b. The Commission is empowered to adopt delegated acts in accordance with Article 23 supplementing this Regulation by laying down animal-based indicators concerning behaviour and physical appearance and the methods of their measurement.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6.º-A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 The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 The Commission is empowered to adopt, taking into account scientific opinions of the European Food Safety Authority as well as the social and economic impacts, delegated acts in accordance with Article 23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which shall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which shall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4. 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5. 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8.º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provide to the acquirer of a dog or cat written information necessary to enable him or her to ensure the welfare of the dog or cat including information on responsible ownership and on the specific needs of the dog or cat in terms of feeding, caring, health, housing and behavioural needs, as well as information on its health.</w:t>
            </w:r>
          </w:p>
          <w:p>
            <w:pPr>
              <w:spacing w:after="0" w:before="140"/>
              <w:ind w:right="80" w:left="80" w:firstLine="0"/>
            </w:pPr>
            <w:r>
              <w:rPr>
                <w:rFonts w:ascii="Calibri" w:hAnsi="Calibri"/>
                <w:b w:val="0"/>
                <w:i w:val="0"/>
                <w:color w:val="222222"/>
                <w:sz w:val="19"/>
              </w:rPr>
              <w:t>1a. The written information on the dog or cat's health referred to in the first paragraph shall include at least:</w:t>
            </w:r>
          </w:p>
          <w:p>
            <w:pPr>
              <w:spacing w:after="0" w:before="20"/>
              <w:ind w:right="80" w:left="360" w:hanging="280"/>
            </w:pPr>
            <w:r>
              <w:rPr>
                <w:rFonts w:ascii="Calibri" w:hAnsi="Calibri"/>
                <w:b w:val="0"/>
                <w:i w:val="0"/>
                <w:color w:val="222222"/>
                <w:sz w:val="19"/>
              </w:rPr>
              <w:t>(a) the dog or cat's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by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In case the information on the dog's or cat's health is documented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57.º) exige informação escrita mas com âmbito mais amplo (duração de vida, custos) do que o @regulamento, que se foca especificamente em bem-estar e saúde.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8.º) aproxima-se do conteúdo do @regulamento, exigindo informação escrita antes da transferência, incluindo dados de saúde e vacinação, mas ainda sem o enfoque específico em bem-estar comportamental.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caretakers  ·  Art.º 9.º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caretakers, other than volunteers in shelters and interns who are under the responsibility of a competent animal caretaker, shall have the following competences as regards the dogs and cats they are handling:</w:t>
            </w:r>
          </w:p>
          <w:p>
            <w:pPr>
              <w:spacing w:after="0" w:before="20"/>
              <w:ind w:right="80" w:left="360" w:hanging="280"/>
            </w:pPr>
            <w:r>
              <w:rPr>
                <w:rFonts w:ascii="Calibri" w:hAnsi="Calibri"/>
                <w:b w:val="0"/>
                <w:i w:val="0"/>
                <w:color w:val="222222"/>
                <w:sz w:val="19"/>
              </w:rPr>
              <w:t>(a) understanding of their biological behaviour and their physiological and ethological needs;</w:t>
            </w:r>
          </w:p>
          <w:p>
            <w:pPr>
              <w:spacing w:after="0" w:before="20"/>
              <w:ind w:right="80" w:left="360" w:hanging="280"/>
            </w:pPr>
            <w:r>
              <w:rPr>
                <w:rFonts w:ascii="Calibri" w:hAnsi="Calibri"/>
                <w:b w:val="0"/>
                <w:i w:val="0"/>
                <w:color w:val="222222"/>
                <w:sz w:val="19"/>
              </w:rPr>
              <w:t>(b) ability to recognise their expressions including any sign of suffering and to identify and take the appropriate mitigating measures in such cases;</w:t>
            </w:r>
          </w:p>
          <w:p>
            <w:pPr>
              <w:spacing w:after="0" w:before="20"/>
              <w:ind w:right="80" w:left="360" w:hanging="280"/>
            </w:pPr>
            <w:r>
              <w:rPr>
                <w:rFonts w:ascii="Calibri" w:hAnsi="Calibri"/>
                <w:b w:val="0"/>
                <w:i w:val="0"/>
                <w:color w:val="222222"/>
                <w:sz w:val="19"/>
              </w:rPr>
              <w:t>(c) ability to apply good animal management practices, including operant conditioning and positive reinforcement, to use and maintain the equipment used for the dogs or cats under their care and to minimise any risks to the welfare of the dogs or cats, preventing suffering;</w:t>
            </w:r>
          </w:p>
          <w:p>
            <w:pPr>
              <w:spacing w:after="0" w:before="20"/>
              <w:ind w:right="80" w:left="360" w:hanging="280"/>
            </w:pPr>
            <w:r>
              <w:rPr>
                <w:rFonts w:ascii="Calibri" w:hAnsi="Calibri"/>
                <w:b w:val="0"/>
                <w:i w:val="0"/>
                <w:color w:val="222222"/>
                <w:sz w:val="19"/>
              </w:rPr>
              <w:t>(d) knowledge of their obligations under this Regulation.</w:t>
            </w:r>
          </w:p>
          <w:p>
            <w:pPr>
              <w:spacing w:after="0" w:before="140"/>
              <w:ind w:right="80" w:left="80" w:firstLine="0"/>
            </w:pPr>
            <w:r>
              <w:rPr>
                <w:rFonts w:ascii="Calibri" w:hAnsi="Calibri"/>
                <w:b w:val="0"/>
                <w:i w:val="0"/>
                <w:color w:val="222222"/>
                <w:sz w:val="19"/>
              </w:rPr>
              <w:t>2. The competences referred to in paragraph 1 may be acquired through education, training or professional experience. Education, training or professional experience shall be documented.</w:t>
            </w:r>
          </w:p>
          <w:p>
            <w:pPr>
              <w:spacing w:after="0" w:before="140"/>
              <w:ind w:right="80" w:left="80" w:firstLine="0"/>
            </w:pPr>
            <w:r>
              <w:rPr>
                <w:rFonts w:ascii="Calibri" w:hAnsi="Calibri"/>
                <w:b w:val="0"/>
                <w:i w:val="0"/>
                <w:color w:val="222222"/>
                <w:sz w:val="19"/>
              </w:rPr>
              <w:t>2a. Operators shall ensure that at least one animal caretaker, other than a volunteer or intern, at the establishment has completed the training courses referred to in Article 18 and that the caretaker transfers the knowledge to the other animal caretakers of the establishment.</w:t>
            </w:r>
          </w:p>
          <w:p>
            <w:pPr>
              <w:spacing w:after="0" w:before="140"/>
              <w:ind w:right="80" w:left="80" w:firstLine="0"/>
            </w:pPr>
            <w:r>
              <w:rPr>
                <w:rFonts w:ascii="Calibri" w:hAnsi="Calibri"/>
                <w:b w:val="0"/>
                <w:i w:val="0"/>
                <w:color w:val="222222"/>
                <w:sz w:val="19"/>
              </w:rPr>
              <w:t>3. The Commission shall, by means of implementing acts, lay down minimum requirements concerning the formal education, training or professional experience in order to acquire the competences referred to in paragraph 2 and for the training courses referred to in paragraph 2a. Those implementing acts shall be adopted in accordance with the examination procedure referred to in Article 24. The implementing act concerning the training courses referred to in paragraph 2a shall be adopted by [3 years from the date of entry into force of the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19.º) é genérico: exige apenas 'conhecimentos e aptidão necessária' sob orientação do médico veterinário responsável. Não detalha competências concretas nem exigências de formação formal.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10.º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w:t>
            </w:r>
          </w:p>
          <w:p>
            <w:pPr>
              <w:spacing w:after="0" w:before="100"/>
              <w:ind w:right="80" w:left="360" w:hanging="280"/>
            </w:pPr>
            <w:r>
              <w:rPr>
                <w:rFonts w:ascii="Calibri" w:hAnsi="Calibri"/>
                <w:b w:val="0"/>
                <w:i w:val="0"/>
                <w:color w:val="222222"/>
                <w:sz w:val="19"/>
              </w:rPr>
              <w:t>(a) ensure that the establishments under their responsibility receive a visit by a veterinarian within the first year after the date of application of this Regulation or within the first year after having notified a new establishment, for the purpose of identifying and assessing any risk factor for the welfare of the dogs or cats and advising the operator on measures to address those risks; thereafter the visits from a veterinarian shall take place when appropriate, based on a risk analysis by the competent authorities; Member States may provide for that the advisory welfare visits are annual;</w:t>
            </w:r>
          </w:p>
          <w:p>
            <w:pPr>
              <w:spacing w:after="0" w:before="100"/>
              <w:ind w:right="80" w:left="360" w:hanging="280"/>
            </w:pPr>
            <w:r>
              <w:rPr>
                <w:rFonts w:ascii="Calibri" w:hAnsi="Calibri"/>
                <w:b w:val="0"/>
                <w:i w:val="0"/>
                <w:color w:val="222222"/>
                <w:sz w:val="19"/>
              </w:rPr>
              <w:t>(b) keep the records of the findings of the visit of the veterinarian referred to in point (a) and of their follow up actions for at least 4 years, from the day of the visit, and shall make them available to the competent authorities upon request and to the veterinarian that performs subsequent advisory visits.</w:t>
            </w:r>
          </w:p>
          <w:p>
            <w:pPr>
              <w:spacing w:after="0" w:before="140"/>
              <w:ind w:right="80" w:left="80" w:firstLine="0"/>
            </w:pPr>
            <w:r>
              <w:rPr>
                <w:rFonts w:ascii="Calibri" w:hAnsi="Calibri"/>
                <w:b w:val="0"/>
                <w:i w:val="0"/>
                <w:color w:val="222222"/>
                <w:sz w:val="19"/>
              </w:rPr>
              <w:t>By 24 months from the date of entry into force of this Regulation, the Commission shall adopt delegated acts in accordance with Article 23 supplementing this Article in order to lay down minimum criteria to be assessed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32.º) replica quase verbatim o art.º 4.º do DL n.º 276/2001, mantendo as mesmas lacunas: não fixa prazos para avaliações de bem-estar nem obrigações de manutenção de registos estruturados.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13.º do Regulamento 2023/0447 (PE/Conselho)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222222"/>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(PE/Conselho)</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17.º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p>
            <w:pPr>
              <w:spacing w:after="0" w:before="140"/>
              <w:ind w:right="80" w:left="80" w:firstLine="0"/>
            </w:pPr>
            <w:r>
              <w:rPr>
                <w:rFonts w:ascii="Calibri" w:hAnsi="Calibri"/>
                <w:b w:val="0"/>
                <w:i w:val="0"/>
                <w:color w:val="222222"/>
                <w:sz w:val="19"/>
              </w:rPr>
              <w:t>2. The implantation of the transponder shall be performed by a veterinarian. Member States may allow the implantation of transponders in cats to be performed by a person other than a veterinarian, if it is done under the responsibility of a veterinarian.</w:t>
            </w:r>
          </w:p>
          <w:p>
            <w:pPr>
              <w:spacing w:after="0" w:before="140"/>
              <w:ind w:right="80" w:left="80" w:firstLine="0"/>
            </w:pPr>
            <w:r>
              <w:rPr>
                <w:rFonts w:ascii="Calibri" w:hAnsi="Calibri"/>
                <w:b w:val="0"/>
                <w:i w:val="0"/>
                <w:color w:val="222222"/>
                <w:sz w:val="19"/>
              </w:rPr>
              <w:t>3. Dogs and cats which have been individually identified by means of an injectable transponder containing a microchip, in accordance with national legislation prior to entry into force of this Regulation, shall be recognised as identified in accordance with the requirements of this Article.</w:t>
            </w:r>
          </w:p>
          <w:p>
            <w:pPr>
              <w:spacing w:after="0" w:before="140"/>
              <w:ind w:right="80" w:left="80" w:firstLine="0"/>
            </w:pPr>
            <w:r>
              <w:rPr>
                <w:rFonts w:ascii="Calibri" w:hAnsi="Calibri"/>
                <w:b w:val="0"/>
                <w:i w:val="0"/>
                <w:color w:val="222222"/>
                <w:sz w:val="19"/>
              </w:rPr>
              <w:t>4. Within two working days after their identification, the dogs and cats shall be registered by a veterinarian in a national database.</w:t>
            </w:r>
          </w:p>
          <w:p>
            <w:pPr>
              <w:spacing w:after="0" w:before="140"/>
              <w:ind w:right="80" w:left="80" w:firstLine="0"/>
            </w:pPr>
            <w:r>
              <w:rPr>
                <w:rFonts w:ascii="Calibri" w:hAnsi="Calibri"/>
                <w:b w:val="0"/>
                <w:i w:val="0"/>
                <w:color w:val="222222"/>
                <w:sz w:val="19"/>
              </w:rPr>
              <w:t>5. For dogs and cats kept in establishments, the registration shall be made in the name of the operator of the establishment. For dogs and cats placed in foster homes, the registration shall be made in the name of the person responsible for the foster home. For dogs and cats owned by pet owners or by any other natural or legal person, the registration shall be made in the name of the pet owner or the natural or legal person.</w:t>
            </w:r>
          </w:p>
          <w:p>
            <w:pPr>
              <w:spacing w:after="0" w:before="140"/>
              <w:ind w:right="80" w:left="80" w:firstLine="0"/>
            </w:pPr>
            <w:r>
              <w:rPr>
                <w:rFonts w:ascii="Calibri" w:hAnsi="Calibri"/>
                <w:b w:val="0"/>
                <w:i w:val="0"/>
                <w:color w:val="222222"/>
                <w:sz w:val="19"/>
              </w:rPr>
              <w:t>Member States may grant derogations from the first subparagraph to military, police and customs dogs.</w:t>
            </w:r>
          </w:p>
          <w:p>
            <w:pPr>
              <w:spacing w:after="0" w:before="140"/>
              <w:ind w:right="80" w:left="80" w:firstLine="0"/>
            </w:pPr>
            <w:r>
              <w:rPr>
                <w:rFonts w:ascii="Calibri" w:hAnsi="Calibri"/>
                <w:b w:val="0"/>
                <w:i w:val="0"/>
                <w:color w:val="222222"/>
                <w:sz w:val="19"/>
              </w:rPr>
              <w:t>6. In case of placing on the market or occasional and irregular donation by a natural person without online advertising, the requirements for registration shall not apply.</w:t>
            </w:r>
          </w:p>
          <w:p>
            <w:pPr>
              <w:spacing w:after="0" w:before="140"/>
              <w:ind w:right="80" w:left="80" w:firstLine="0"/>
            </w:pPr>
            <w:r>
              <w:rPr>
                <w:rFonts w:ascii="Calibri" w:hAnsi="Calibri"/>
                <w:b w:val="0"/>
                <w:i w:val="0"/>
                <w:color w:val="222222"/>
                <w:sz w:val="19"/>
              </w:rPr>
              <w:t>7. In the case of a death of a dog or a cat, the operator, pet owner or natural or legal person owning the dog or cat shall inform the national database.</w:t>
            </w:r>
          </w:p>
          <w:p>
            <w:pPr>
              <w:spacing w:after="0" w:before="140"/>
              <w:ind w:right="80" w:left="80" w:firstLine="0"/>
            </w:pPr>
            <w:r>
              <w:rPr>
                <w:rFonts w:ascii="Calibri" w:hAnsi="Calibri"/>
                <w:b w:val="0"/>
                <w:i w:val="0"/>
                <w:color w:val="222222"/>
                <w:sz w:val="19"/>
              </w:rPr>
              <w:t>8. In case of unreadable transponder, the operator or the natural or legal person responsible for the dog or cat shall ensure that the dog or cat is re-identified with a new transponder and re-registered in the national database.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