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os cães e gatos são alimentados de acordo com os requisitos estabelecidos no ponto 1 do Anexo I.</w:t>
            </w:r>
          </w:p>
          <w:p>
            <w:pPr>
              <w:spacing w:after="0" w:before="140"/>
              <w:ind w:right="80" w:left="80" w:firstLine="0"/>
            </w:pPr>
            <w:r>
              <w:rPr>
                <w:rFonts w:ascii="Calibri" w:hAnsi="Calibri"/>
                <w:b w:val="0"/>
                <w:i/>
                <w:color w:val="222222"/>
                <w:sz w:val="19"/>
              </w:rPr>
              <w:t>2 — Os operadores devem assegurar que os cães e gatos são adequadamente alimentados e hidratados fornecendo:</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tendo como objetivo global atingir e manter uma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alimentação de forma a evitar mudanças bruscas e assegurar um sistema gastrointestinal bem funcionante, em particular durante a fase de desmame.</w:t>
            </w:r>
          </w:p>
          <w:p>
            <w:pPr>
              <w:spacing w:after="0" w:before="140"/>
              <w:ind w:right="80" w:left="80" w:firstLine="0"/>
            </w:pPr>
            <w:r>
              <w:rPr>
                <w:rFonts w:ascii="Calibri" w:hAnsi="Calibri"/>
                <w:b w:val="0"/>
                <w:i/>
                <w:color w:val="222222"/>
                <w:sz w:val="19"/>
              </w:rPr>
              <w:t>3 — Os operadores devem assegurar que as instalações de alimentação e hidratação são mantidas limpas e construídas e instaladas de modo a:</w:t>
            </w:r>
          </w:p>
          <w:p>
            <w:pPr>
              <w:spacing w:after="0" w:before="20"/>
              <w:ind w:right="80" w:left="360" w:hanging="280"/>
            </w:pPr>
            <w:r>
              <w:rPr>
                <w:rFonts w:ascii="Calibri" w:hAnsi="Calibri"/>
                <w:b w:val="0"/>
                <w:i/>
                <w:color w:val="222222"/>
                <w:sz w:val="19"/>
              </w:rPr>
              <w:t>a) proporcionar acesso igual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os derrames e prevenir a contaminação de alimentos e água com contaminantes físicos, químicos ou biológicos prejudiciais;</w:t>
            </w:r>
          </w:p>
          <w:p>
            <w:pPr>
              <w:spacing w:after="0" w:before="20"/>
              <w:ind w:right="80" w:left="360" w:hanging="280"/>
            </w:pPr>
            <w:r>
              <w:rPr>
                <w:rFonts w:ascii="Calibri" w:hAnsi="Calibri"/>
                <w:b w:val="0"/>
                <w:i/>
                <w:color w:val="222222"/>
                <w:sz w:val="19"/>
              </w:rPr>
              <w:t>c) prevenir lesões, afogamento ou outro mal aos cães ou gatos;</w:t>
            </w:r>
          </w:p>
          <w:p>
            <w:pPr>
              <w:spacing w:after="0" w:before="20"/>
              <w:ind w:right="80" w:left="360" w:hanging="280"/>
            </w:pPr>
            <w:r>
              <w:rPr>
                <w:rFonts w:ascii="Calibri" w:hAnsi="Calibri"/>
                <w:b w:val="0"/>
                <w:i/>
                <w:color w:val="222222"/>
                <w:sz w:val="19"/>
              </w:rPr>
              <w:t>d) ser facilmente limpas e desinfetadas para prevenir a propagação de doenças.</w:t>
            </w:r>
          </w:p>
          <w:p>
            <w:pPr>
              <w:spacing w:after="0" w:before="140"/>
              <w:ind w:right="80" w:left="80" w:firstLine="0"/>
            </w:pPr>
            <w:r>
              <w:rPr>
                <w:rFonts w:ascii="Calibri" w:hAnsi="Calibri"/>
                <w:b w:val="0"/>
                <w:i/>
                <w:color w:val="222222"/>
                <w:sz w:val="19"/>
              </w:rPr>
              <w:t>3a —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alimentação e hidratação para cães e gatos.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Annex I. Operators of shelters shall ensure that dogs or cats are provided with housing in accordance with point 2.2 of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80" w:firstLine="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80" w:firstLine="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 Paragraph 2(da)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 estabelecimentos de criação e venda devem assegurar que os cães e gatos são alojados de acordo com o ponto 2 do Anexo I. Os operadores de abrigos devem assegurar que os cães e gatos são alojados de acordo com o ponto 2.2 do Anexo I.</w:t>
            </w:r>
          </w:p>
          <w:p>
            <w:pPr>
              <w:spacing w:after="0" w:before="140"/>
              <w:ind w:right="80" w:left="80" w:firstLine="0"/>
            </w:pPr>
            <w:r>
              <w:rPr>
                <w:rFonts w:ascii="Calibri" w:hAnsi="Calibri"/>
                <w:b w:val="0"/>
                <w:i/>
                <w:color w:val="222222"/>
                <w:sz w:val="19"/>
              </w:rPr>
              <w:t>2 — Os operadores devem assegurar que:</w:t>
            </w:r>
          </w:p>
          <w:p>
            <w:pPr>
              <w:spacing w:after="0" w:before="20"/>
              <w:ind w:right="80" w:left="360" w:hanging="280"/>
            </w:pPr>
            <w:r>
              <w:rPr>
                <w:rFonts w:ascii="Calibri" w:hAnsi="Calibri"/>
                <w:b w:val="0"/>
                <w:i/>
                <w:color w:val="222222"/>
                <w:sz w:val="19"/>
              </w:rPr>
              <w:t>a) os estabelecimentos onde os cães e gatos são mantidos e os equipamentos utilizados são adequados aos tipos e número de cães ou gatos, e permitem o acesso necessário e inspeção completa de todos os cães ou gatos;</w:t>
            </w:r>
          </w:p>
          <w:p>
            <w:pPr>
              <w:spacing w:after="0" w:before="20"/>
              <w:ind w:right="80" w:left="360" w:hanging="280"/>
            </w:pPr>
            <w:r>
              <w:rPr>
                <w:rFonts w:ascii="Calibri" w:hAnsi="Calibri"/>
                <w:b w:val="0"/>
                <w:i/>
                <w:color w:val="222222"/>
                <w:sz w:val="19"/>
              </w:rPr>
              <w:t>b) todos os componentes do edifício do estabelecimento, incluindo o piso, telhado e divisões, bem como o equipamento utilizado para cães ou gatos, são construídos e mantidos adequadamente, para garantir que não representam riscos ao bem-estar dos cães ou gatos;</w:t>
            </w:r>
          </w:p>
          <w:p>
            <w:pPr>
              <w:spacing w:after="0" w:before="20"/>
              <w:ind w:right="80" w:left="80" w:firstLine="0"/>
            </w:pPr>
            <w:r>
              <w:rPr>
                <w:rFonts w:ascii="Calibri" w:hAnsi="Calibri"/>
                <w:b w:val="0"/>
                <w:i/>
                <w:color w:val="222222"/>
                <w:sz w:val="19"/>
              </w:rPr>
              <w:t>ba) todos os componentes do edifício do estabelecimento, incluindo o piso e as divisões, bem como o equipamento utilizado para cães ou gatos, são mantidos limpos para garantir que não representam riscos ao bem-estar dos cães ou gatos;</w:t>
            </w:r>
          </w:p>
          <w:p>
            <w:pPr>
              <w:spacing w:after="0" w:before="20"/>
              <w:ind w:right="80" w:left="360" w:hanging="280"/>
            </w:pPr>
            <w:r>
              <w:rPr>
                <w:rFonts w:ascii="Calibri" w:hAnsi="Calibri"/>
                <w:b w:val="0"/>
                <w:i/>
                <w:color w:val="222222"/>
                <w:sz w:val="19"/>
              </w:rPr>
              <w:t>c) nos estabelecimentos de criação e venda onde os cães e gatos são mantidos em recinto fechado, a poeira, temperatura, humidade relativa do ar e concentrações de gases não são prejudiciais aos cães ou gatos e a ventilação é suficiente para evitar o aquecimento excessivo;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80" w:firstLine="0"/>
            </w:pPr>
            <w:r>
              <w:rPr>
                <w:rFonts w:ascii="Calibri" w:hAnsi="Calibri"/>
                <w:b w:val="0"/>
                <w:i/>
                <w:color w:val="222222"/>
                <w:sz w:val="19"/>
              </w:rPr>
              <w:t>da) os cães ou gatos têm locais de repouso limpos, confortáveis e secos, suficientemente grandes e numerosos para garantir que todos podem deitar-se e descansar simultaneamente numa posição natural;</w:t>
            </w:r>
          </w:p>
          <w:p>
            <w:pPr>
              <w:spacing w:after="0" w:before="20"/>
              <w:ind w:right="80" w:left="360" w:hanging="280"/>
            </w:pPr>
            <w:r>
              <w:rPr>
                <w:rFonts w:ascii="Calibri" w:hAnsi="Calibri"/>
                <w:b w:val="0"/>
                <w:i/>
                <w:color w:val="222222"/>
                <w:sz w:val="19"/>
              </w:rPr>
              <w:t>e) estruturas e medidas apropriadas são implementadas para cães ou gatos mantidos ao ar livre para os proteger de condições climáticas adversas, incluindo para prevenir stress térmico, queimaduras solares e congelamento.</w:t>
            </w:r>
          </w:p>
          <w:p>
            <w:pPr>
              <w:spacing w:after="0" w:before="140"/>
              <w:ind w:right="80" w:left="80" w:firstLine="0"/>
            </w:pPr>
            <w:r>
              <w:rPr>
                <w:rFonts w:ascii="Calibri" w:hAnsi="Calibri"/>
                <w:b w:val="0"/>
                <w:i/>
                <w:color w:val="222222"/>
                <w:sz w:val="19"/>
              </w:rPr>
              <w:t>3 — Os operadores não devem manter cães ou gatos em contentores.</w:t>
            </w:r>
          </w:p>
          <w:p>
            <w:pPr>
              <w:spacing w:after="0" w:before="140"/>
              <w:ind w:right="80" w:left="80" w:firstLine="0"/>
            </w:pPr>
            <w:r>
              <w:rPr>
                <w:rFonts w:ascii="Calibri" w:hAnsi="Calibri"/>
                <w:b w:val="0"/>
                <w:i/>
                <w:color w:val="222222"/>
                <w:sz w:val="19"/>
              </w:rPr>
              <w:t>Por derrogação, contentores podem ser utilizados apenas para transporte, isolamento de curta duração de cães ou gatos individuais e durante participação em espetáculos, exposições e competições, para cachorros ou gatinhos com capacidade de termorregulação reduzida ou cachorros ou gatinhos juntamente com as suas mães, desde que o stress seja minimizado e o sofrimento evitado e os cães e gatos sejam capazes de estar de pé e deitar-se numa posição natural.</w:t>
            </w:r>
          </w:p>
          <w:p>
            <w:pPr>
              <w:spacing w:after="0" w:before="140"/>
              <w:ind w:right="80" w:left="80" w:firstLine="0"/>
            </w:pPr>
            <w:r>
              <w:rPr>
                <w:rFonts w:ascii="Calibri" w:hAnsi="Calibri"/>
                <w:b w:val="0"/>
                <w:i/>
                <w:color w:val="222222"/>
                <w:sz w:val="19"/>
              </w:rPr>
              <w:t>4 — Os operadores não devem manter cães com mais de 8 semanas exclusivamente em recintos fechados. Esses cães devem ter acesso diário a uma área ao ar livre, ou ser passeados diariamente, para permitir exercício, exploração e socialização. A duração do acesso diário a uma área ao ar livre ou passeio deve ser mínimo uma hora no total. O operador pode derrogar destes requisitos apenas com base em aconselhamento escrito de um médico veterinário.</w:t>
            </w:r>
          </w:p>
          <w:p>
            <w:pPr>
              <w:spacing w:after="0" w:before="140"/>
              <w:ind w:right="80" w:left="80" w:firstLine="0"/>
            </w:pPr>
            <w:r>
              <w:rPr>
                <w:rFonts w:ascii="Calibri" w:hAnsi="Calibri"/>
                <w:b w:val="0"/>
                <w:i/>
                <w:color w:val="222222"/>
                <w:sz w:val="19"/>
              </w:rPr>
              <w:t>5 — Quando gatos são mantidos em viveiros, os operadores devem desenhar e construir recintos individuais que permitam aos gatos moverem-se livremente e expressar o seu comportamento natural.</w:t>
            </w:r>
          </w:p>
          <w:p>
            <w:pPr>
              <w:spacing w:after="0" w:before="140"/>
              <w:ind w:right="80" w:left="80" w:firstLine="0"/>
            </w:pPr>
            <w:r>
              <w:rPr>
                <w:rFonts w:ascii="Calibri" w:hAnsi="Calibri"/>
                <w:b w:val="0"/>
                <w:i/>
                <w:color w:val="222222"/>
                <w:sz w:val="19"/>
              </w:rPr>
              <w:t>6 — Os operadores de estabelecimentos de criação e venda devem assegurar que em áreas fechadas onde cães e gatos são mantidos, uma zona termoneutra apropriada é mantida levando em conta o seu tipo de pelagem, idade, tamanho, raça e saúde.</w:t>
            </w:r>
          </w:p>
          <w:p>
            <w:pPr>
              <w:spacing w:after="0" w:before="140"/>
              <w:ind w:right="80" w:left="80" w:firstLine="0"/>
            </w:pPr>
            <w:r>
              <w:rPr>
                <w:rFonts w:ascii="Calibri" w:hAnsi="Calibri"/>
                <w:b w:val="0"/>
                <w:i/>
                <w:color w:val="222222"/>
                <w:sz w:val="19"/>
              </w:rPr>
              <w:t>6a — Os operadores de estabelecimentos de criação e venda devem utilizar, quando necessário, sistemas de aquecimento ou arrefecimento para manter boa qualidade do ar, temperatura apropriada em recintos fechados nos seus estabelecimentos, e remover humidade excessiva.</w:t>
            </w:r>
          </w:p>
          <w:p>
            <w:pPr>
              <w:spacing w:after="0" w:before="140"/>
              <w:ind w:right="80" w:left="80" w:firstLine="0"/>
            </w:pPr>
            <w:r>
              <w:rPr>
                <w:rFonts w:ascii="Calibri" w:hAnsi="Calibri"/>
                <w:b w:val="0"/>
                <w:i/>
                <w:color w:val="222222"/>
                <w:sz w:val="19"/>
              </w:rPr>
              <w:t>7 — Os operadores devem assegurar que os cães e gatos são expostos a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parágrafo anterior,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 Os parágrafos 2(a), (b), (ba) (da) (e), 6, 6a e 7 não se aplicam aos cães de guarda de gado, nem aos cães de pastoreio, durante os períodos em que tais cães são utilizados para guarda ou pastoreio no contexto de transumância sazonal a pé. O parágrafo 2(da) não se aplica aos cães de guarda de gado durante os períodos em que tais cães são utilizados para fins de treino.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alojamento para cães e gatos em diferentes tipos de estabelecimentos (criação, venda, abrigos).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5b.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medidas são tomadas para satisfazer as necessidades comportamentais dos cães ou gatos de acordo com o ponto 4 do Anexo I.</w:t>
            </w:r>
          </w:p>
          <w:p>
            <w:pPr>
              <w:spacing w:after="0" w:before="140"/>
              <w:ind w:right="80" w:left="80" w:firstLine="0"/>
            </w:pPr>
            <w:r>
              <w:rPr>
                <w:rFonts w:ascii="Calibri" w:hAnsi="Calibri"/>
                <w:b w:val="0"/>
                <w:i/>
                <w:color w:val="222222"/>
                <w:sz w:val="19"/>
              </w:rPr>
              <w:t>2 — Os operadores não devem manter cães ou gatos em áreas que restringem os seus movimentos naturais, exceto no caso do Artigo 12(3),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colheita de amostras e vacinações;</w:t>
            </w:r>
          </w:p>
          <w:p>
            <w:pPr>
              <w:spacing w:after="0" w:before="20"/>
              <w:ind w:right="80" w:left="360" w:hanging="280"/>
            </w:pPr>
            <w:r>
              <w:rPr>
                <w:rFonts w:ascii="Calibri" w:hAnsi="Calibri"/>
                <w:b w:val="0"/>
                <w:i/>
                <w:color w:val="222222"/>
                <w:sz w:val="19"/>
              </w:rPr>
              <w:t>d) procedimentos para limpeza, higiene, saúde ou fins reprodutivos que não o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 A amarração por mais de 1 hora é proibida, exceto pela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 Os Estados-Membros podem conceder derrogações do parágrafo 3 para cães destinados ao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 Os operadores devem assegurar que condições estão em lugar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 Os operadores devem assegurar que cães ou gatos podem socializar de acordo com o ponto 4 do Anexo I. Os operadores de estabelecimentos de criação devem documentar sua estratégia para tal socialização.</w:t>
            </w:r>
          </w:p>
          <w:p>
            <w:pPr>
              <w:spacing w:after="0" w:before="140"/>
              <w:ind w:right="80" w:left="80" w:firstLine="0"/>
            </w:pPr>
            <w:r>
              <w:rPr>
                <w:rFonts w:ascii="Calibri" w:hAnsi="Calibri"/>
                <w:b w:val="0"/>
                <w:i/>
                <w:color w:val="222222"/>
                <w:sz w:val="19"/>
              </w:rPr>
              <w:t>5a — O parágrafo anterior não se aplica aos cães de guarda de gado mantidos em estabelecimentos de criação durante os períodos em que tais cães são utilizados para fins de guarda ou treino nem aos cães de pastoreio durante a transumância sazonal.</w:t>
            </w:r>
          </w:p>
          <w:p>
            <w:pPr>
              <w:spacing w:after="0" w:before="140"/>
              <w:ind w:right="80" w:left="80" w:firstLine="0"/>
            </w:pPr>
            <w:r>
              <w:rPr>
                <w:rFonts w:ascii="Calibri" w:hAnsi="Calibri"/>
                <w:b w:val="0"/>
                <w:i/>
                <w:color w:val="222222"/>
                <w:sz w:val="19"/>
              </w:rPr>
              <w:t>5b — Os operadores devem assegurar que enriquecimento é fornecido e acessível a todos os cães ou gatos, criando um ambiente estimulante, permitindo comportamento específico da espécie e reduzindo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 satisfação das necessidades comportamentais de cães e gatos. Proibição de retenção em áreas restritivas.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80" w:firstLine="0"/>
            </w:pPr>
            <w:r>
              <w:rPr>
                <w:rFonts w:ascii="Calibri" w:hAnsi="Calibri"/>
                <w:b w:val="0"/>
                <w:i w:val="0"/>
                <w:color w:val="222222"/>
                <w:sz w:val="19"/>
              </w:rPr>
              <w:t>da) using prong collars;</w:t>
            </w:r>
          </w:p>
          <w:p>
            <w:pPr>
              <w:spacing w:after="0" w:before="20"/>
              <w:ind w:right="80" w:left="80" w:firstLine="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mutilações, incluindo corte de orelhas, corte de cauda, remoção de garras ou outra amputação parcial ou completa de dígitos, e ressecção de cordas vocais ou pregas, não são realizadas a menos que seja por indicação médica, que pode incluir profilática, com o único propósito de preservar, melhorar a saúde de cães ou gatos ou prevenir lesões.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 A indicação médica para a mutilação e os detalhes do procedimento realizado devem ser documentados por um médico veterinário. Este documento deve ser retido pelo operador até o cão ou gato, juntamente com este documento, ser transferido para outro estabelecimento ou proprietário. O operador do estabelecimento onde a mutilação foi realizada deve reter uma cópia do documento por três anos após a transferência do cão ou gato.</w:t>
            </w:r>
          </w:p>
          <w:p>
            <w:pPr>
              <w:spacing w:after="0" w:before="140"/>
              <w:ind w:right="80" w:left="80" w:firstLine="0"/>
            </w:pPr>
            <w:r>
              <w:rPr>
                <w:rFonts w:ascii="Calibri" w:hAnsi="Calibri"/>
                <w:b w:val="0"/>
                <w:i/>
                <w:color w:val="222222"/>
                <w:sz w:val="19"/>
              </w:rPr>
              <w:t>1b — Por derrogação do parágrafo 1, os Estados-Membros podem permitir corte de orelhas por entalhe ou corte de orelhas de gato no contexto de marcação de gatos vadios quando castrados sob um programa de captura-castração-libertação.</w:t>
            </w:r>
          </w:p>
          <w:p>
            <w:pPr>
              <w:spacing w:after="0" w:before="140"/>
              <w:ind w:right="80" w:left="80" w:firstLine="0"/>
            </w:pPr>
            <w:r>
              <w:rPr>
                <w:rFonts w:ascii="Calibri" w:hAnsi="Calibri"/>
                <w:b w:val="0"/>
                <w:i/>
                <w:color w:val="222222"/>
                <w:sz w:val="19"/>
              </w:rPr>
              <w:t>2 — Os operadores devem assegurar que a castração é realizada apenas sob anestesia e analgesia prolongada e por um médico veterinário. Por derrogação, os Estados-Membros podem permitir que a castração de gatos machos seja realizada por um enfermeiro veterinário licenciado.</w:t>
            </w:r>
          </w:p>
          <w:p>
            <w:pPr>
              <w:spacing w:after="0" w:before="140"/>
              <w:ind w:right="80" w:left="80" w:firstLine="0"/>
            </w:pPr>
            <w:r>
              <w:rPr>
                <w:rFonts w:ascii="Calibri" w:hAnsi="Calibri"/>
                <w:b w:val="0"/>
                <w:i/>
                <w:color w:val="222222"/>
                <w:sz w:val="19"/>
              </w:rPr>
              <w:t>3 —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amarração de partes do corpo a menos que por motivos médicos, caso em que a duração deve ser limitada ao período mínimo necessário;</w:t>
            </w:r>
          </w:p>
          <w:p>
            <w:pPr>
              <w:spacing w:after="0" w:before="20"/>
              <w:ind w:right="80" w:left="360" w:hanging="280"/>
            </w:pPr>
            <w:r>
              <w:rPr>
                <w:rFonts w:ascii="Calibri" w:hAnsi="Calibri"/>
                <w:b w:val="0"/>
                <w:i/>
                <w:color w:val="222222"/>
                <w:sz w:val="19"/>
              </w:rPr>
              <w:t>b) chutar, bater, arrastar, lançar, apertar cães ou gatos;</w:t>
            </w:r>
          </w:p>
          <w:p>
            <w:pPr>
              <w:spacing w:after="0" w:before="20"/>
              <w:ind w:right="80" w:left="360" w:hanging="280"/>
            </w:pPr>
            <w:r>
              <w:rPr>
                <w:rFonts w:ascii="Calibri" w:hAnsi="Calibri"/>
                <w:b w:val="0"/>
                <w:i/>
                <w:color w:val="222222"/>
                <w:sz w:val="19"/>
              </w:rPr>
              <w:t>c) aplicação de corrente elétrica a cães ou gatos a menos que realizada por motivos médicos;</w:t>
            </w:r>
          </w:p>
          <w:p>
            <w:pPr>
              <w:spacing w:after="0" w:before="20"/>
              <w:ind w:right="80" w:left="360" w:hanging="280"/>
            </w:pPr>
            <w:r>
              <w:rPr>
                <w:rFonts w:ascii="Calibri" w:hAnsi="Calibri"/>
                <w:b w:val="0"/>
                <w:i/>
                <w:color w:val="222222"/>
                <w:sz w:val="19"/>
              </w:rPr>
              <w:t>d) uso de focinheiras, a menos que necessário por motivos médicos, segurança animal ou humana, caso em que a duração deve ser limitada ao período mínimo necessário e o cão ou gato deve ser supervisionado;</w:t>
            </w:r>
          </w:p>
          <w:p>
            <w:pPr>
              <w:spacing w:after="0" w:before="20"/>
              <w:ind w:right="80" w:left="80" w:firstLine="0"/>
            </w:pPr>
            <w:r>
              <w:rPr>
                <w:rFonts w:ascii="Calibri" w:hAnsi="Calibri"/>
                <w:b w:val="0"/>
                <w:i/>
                <w:color w:val="222222"/>
                <w:sz w:val="19"/>
              </w:rPr>
              <w:t>da) uso de coleiras de espinhos;</w:t>
            </w:r>
          </w:p>
          <w:p>
            <w:pPr>
              <w:spacing w:after="0" w:before="20"/>
              <w:ind w:right="80" w:left="80" w:firstLine="0"/>
            </w:pPr>
            <w:r>
              <w:rPr>
                <w:rFonts w:ascii="Calibri" w:hAnsi="Calibri"/>
                <w:b w:val="0"/>
                <w:i/>
                <w:color w:val="222222"/>
                <w:sz w:val="19"/>
              </w:rPr>
              <w:t>db) uso de coleiras de enforcamento sem sistema de segurança;</w:t>
            </w:r>
          </w:p>
          <w:p>
            <w:pPr>
              <w:spacing w:after="0" w:before="20"/>
              <w:ind w:right="80" w:left="360" w:hanging="280"/>
            </w:pPr>
            <w:r>
              <w:rPr>
                <w:rFonts w:ascii="Calibri" w:hAnsi="Calibri"/>
                <w:b w:val="0"/>
                <w:i/>
                <w:color w:val="222222"/>
                <w:sz w:val="19"/>
              </w:rPr>
              <w:t>e) levantamento de cães ou gatos pelos membros, cabeça, orelhas, cauda ou pelo, ou levantamento de cães ou gatos adultos pela pele.</w:t>
            </w:r>
          </w:p>
          <w:p>
            <w:pPr>
              <w:spacing w:after="0" w:before="140"/>
              <w:ind w:right="80" w:left="80" w:firstLine="0"/>
            </w:pPr>
            <w:r>
              <w:rPr>
                <w:rFonts w:ascii="Calibri" w:hAnsi="Calibri"/>
                <w:b w:val="0"/>
                <w:i/>
                <w:color w:val="222222"/>
                <w:sz w:val="19"/>
              </w:rPr>
              <w:t>4 — Os Estados-Membros podem conceder derrogações do parágrafo 3 para cães destinados ao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relativos a práticas dolorosas e mutilações em cães e gatos. Restrições a práticas de manipulação causando dor.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15a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of breeding and selling establishments shall not use in aesthetic shows, exhibitions and competitions of dogs and cats, dogs or cats with excessive conformational traits or dogs or cats which have been mutilated in such a way that results in an alteration of physical characteristics.</w:t>
            </w:r>
          </w:p>
          <w:p>
            <w:pPr>
              <w:spacing w:after="0" w:before="140"/>
              <w:ind w:right="80" w:left="80" w:firstLine="0"/>
            </w:pPr>
            <w:r>
              <w:rPr>
                <w:rFonts w:ascii="Calibri" w:hAnsi="Calibri"/>
                <w:b w:val="0"/>
                <w:i w:val="0"/>
                <w:color w:val="222222"/>
                <w:sz w:val="19"/>
              </w:rPr>
              <w:t>Organisers of aesthetic shows, exhibitions and competitions of dogs and cats shall exclude from such shows, exhibitions and competitions dogs and cats which have excessive conformational traits or dogs or cats which have been mutilated in such a way that results in an alteration of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140"/>
              <w:ind w:right="80" w:left="80" w:firstLine="0"/>
            </w:pPr>
            <w:r>
              <w:rPr>
                <w:rFonts w:ascii="Calibri" w:hAnsi="Calibri"/>
                <w:b w:val="0"/>
                <w:i/>
                <w:color w:val="222222"/>
                <w:sz w:val="19"/>
              </w:rPr>
              <w:t>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A ser preenchido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portuguesas a ser adicionadas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17a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When operators advertise online a dog or a cat with a view to its placing on the Union market, they shall ensure the display of the following warning in the advertisement in clearly visible and bold characters:</w:t>
            </w:r>
          </w:p>
          <w:p>
            <w:pPr>
              <w:spacing w:after="0" w:before="140"/>
              <w:ind w:right="80" w:left="80" w:firstLine="0"/>
            </w:pPr>
            <w:r>
              <w:rPr>
                <w:rFonts w:ascii="Calibri" w:hAnsi="Calibri"/>
                <w:b w:val="0"/>
                <w:i w:val="0"/>
                <w:color w:val="222222"/>
                <w:sz w:val="19"/>
              </w:rPr>
              <w:t>"An animal is not a toy. Getting one is a life-changing decision. It is your duty to ensure its health and welfare and not to abandon it."</w:t>
            </w:r>
          </w:p>
          <w:p>
            <w:pPr>
              <w:spacing w:after="0" w:before="140"/>
              <w:ind w:right="80" w:left="80" w:firstLine="0"/>
            </w:pPr>
            <w:r>
              <w:rPr>
                <w:rFonts w:ascii="Calibri" w:hAnsi="Calibri"/>
                <w:b w:val="0"/>
                <w:i w:val="0"/>
                <w:color w:val="222222"/>
                <w:sz w:val="19"/>
              </w:rPr>
              <w:t>2. When natural or legal persons other than operators advertise online a dog or a cat with a view to its placing on the Union market, they shall ensure the display of a warning on responsible ownership either using the wording referred to in the first sub-paragraph or a different wording with an equivalent meaning to it.</w:t>
            </w:r>
          </w:p>
          <w:p>
            <w:pPr>
              <w:spacing w:after="0" w:before="140"/>
              <w:ind w:right="80" w:left="80" w:firstLine="0"/>
            </w:pPr>
            <w:r>
              <w:rPr>
                <w:rFonts w:ascii="Calibri" w:hAnsi="Calibri"/>
                <w:b w:val="0"/>
                <w:i w:val="0"/>
                <w:color w:val="222222"/>
                <w:sz w:val="19"/>
              </w:rPr>
              <w:t>3. When placing a dog or a cat on the market in the Union, the natural or legal person placing the dog or cat on the market shall:</w:t>
            </w:r>
          </w:p>
          <w:p>
            <w:pPr>
              <w:spacing w:after="0" w:before="100"/>
              <w:ind w:right="80" w:left="360" w:hanging="280"/>
            </w:pPr>
            <w:r>
              <w:rPr>
                <w:rFonts w:ascii="Calibri" w:hAnsi="Calibri"/>
                <w:b w:val="0"/>
                <w:i w:val="0"/>
                <w:color w:val="222222"/>
                <w:sz w:val="19"/>
              </w:rPr>
              <w:t>a) provide to the acquirer proof of the identification and registration of dog or cat in compliance with Article 17;</w:t>
            </w:r>
          </w:p>
          <w:p>
            <w:pPr>
              <w:spacing w:after="0" w:before="100"/>
              <w:ind w:right="80" w:left="360" w:hanging="280"/>
            </w:pPr>
            <w:r>
              <w:rPr>
                <w:rFonts w:ascii="Calibri" w:hAnsi="Calibri"/>
                <w:b w:val="0"/>
                <w:i w:val="0"/>
                <w:color w:val="222222"/>
                <w:sz w:val="19"/>
              </w:rPr>
              <w:t>b) provide to the acquirer the following information on the dog or cat:</w:t>
            </w:r>
          </w:p>
          <w:p>
            <w:pPr>
              <w:spacing w:after="0" w:before="20"/>
              <w:ind w:right="80" w:left="80" w:firstLine="0"/>
            </w:pPr>
            <w:r>
              <w:rPr>
                <w:rFonts w:ascii="Calibri" w:hAnsi="Calibri"/>
                <w:b w:val="0"/>
                <w:i w:val="0"/>
                <w:color w:val="222222"/>
                <w:sz w:val="19"/>
              </w:rPr>
              <w:t>i. its species;</w:t>
            </w:r>
          </w:p>
          <w:p>
            <w:pPr>
              <w:spacing w:after="0" w:before="20"/>
              <w:ind w:right="80" w:left="80" w:firstLine="0"/>
            </w:pPr>
            <w:r>
              <w:rPr>
                <w:rFonts w:ascii="Calibri" w:hAnsi="Calibri"/>
                <w:b w:val="0"/>
                <w:i w:val="0"/>
                <w:color w:val="222222"/>
                <w:sz w:val="19"/>
              </w:rPr>
              <w:t>ii. its sex;</w:t>
            </w:r>
          </w:p>
          <w:p>
            <w:pPr>
              <w:spacing w:after="0" w:before="20"/>
              <w:ind w:right="80" w:left="80" w:firstLine="0"/>
            </w:pPr>
            <w:r>
              <w:rPr>
                <w:rFonts w:ascii="Calibri" w:hAnsi="Calibri"/>
                <w:b w:val="0"/>
                <w:i w:val="0"/>
                <w:color w:val="222222"/>
                <w:sz w:val="19"/>
              </w:rPr>
              <w:t>iii. its date and country of birth; and</w:t>
            </w:r>
          </w:p>
          <w:p>
            <w:pPr>
              <w:spacing w:after="0" w:before="20"/>
              <w:ind w:right="80" w:left="80" w:firstLine="0"/>
            </w:pPr>
            <w:r>
              <w:rPr>
                <w:rFonts w:ascii="Calibri" w:hAnsi="Calibri"/>
                <w:b w:val="0"/>
                <w:i w:val="0"/>
                <w:color w:val="222222"/>
                <w:sz w:val="19"/>
              </w:rPr>
              <w:t>iv. where relevant, its breed.</w:t>
            </w:r>
          </w:p>
          <w:p>
            <w:pPr>
              <w:spacing w:after="0" w:before="100"/>
              <w:ind w:right="80" w:left="360" w:hanging="280"/>
            </w:pPr>
            <w:r>
              <w:rPr>
                <w:rFonts w:ascii="Calibri" w:hAnsi="Calibri"/>
                <w:b w:val="0"/>
                <w:i w:val="0"/>
                <w:color w:val="222222"/>
                <w:sz w:val="19"/>
              </w:rPr>
              <w:t>c) in case of online advertising, use the system referred to in paragraph 6 to generate a unique verification token and make the token and the weblink to the system referred to in paragraph 6 available in the advertisement.</w:t>
            </w:r>
          </w:p>
          <w:p>
            <w:pPr>
              <w:spacing w:after="0" w:before="140"/>
              <w:ind w:right="80" w:left="80" w:firstLine="0"/>
            </w:pPr>
            <w:r>
              <w:rPr>
                <w:rFonts w:ascii="Calibri" w:hAnsi="Calibri"/>
                <w:b w:val="0"/>
                <w:i w:val="0"/>
                <w:color w:val="222222"/>
                <w:sz w:val="19"/>
              </w:rPr>
              <w:t>4. Acquirers shall be able to verify the authenticity of the identification, registration and ownership of dogs or cats advertised online through the system referred to in paragraph 6.</w:t>
            </w:r>
          </w:p>
          <w:p>
            <w:pPr>
              <w:spacing w:after="0" w:before="140"/>
              <w:ind w:right="80" w:left="80" w:firstLine="0"/>
            </w:pPr>
            <w:r>
              <w:rPr>
                <w:rFonts w:ascii="Calibri" w:hAnsi="Calibri"/>
                <w:b w:val="0"/>
                <w:i w:val="0"/>
                <w:color w:val="222222"/>
                <w:sz w:val="19"/>
              </w:rPr>
              <w:t>5. Providers of online platforms shall ensure that their online interface is designed and organised in such a way that facilitates the operators or other natural or legal persons placing dogs or cats on the market to comply with their obligations under paragraphs 1, 2 and 3 of this Article, in line with Article 31 of Regulation (EU) 2022/2065, and shall inform acquirers, in a visible manner, of the possibility to verify the identification and registration of the dog or cat through a weblink to the system referred to in paragraph 6.</w:t>
            </w:r>
          </w:p>
          <w:p>
            <w:pPr>
              <w:spacing w:after="0" w:before="140"/>
              <w:ind w:right="80" w:left="80" w:firstLine="0"/>
            </w:pPr>
            <w:r>
              <w:rPr>
                <w:rFonts w:ascii="Calibri" w:hAnsi="Calibri"/>
                <w:b w:val="0"/>
                <w:i w:val="0"/>
                <w:color w:val="222222"/>
                <w:sz w:val="19"/>
              </w:rPr>
              <w:t>The natural or legal person placing dogs or cats on the market shall be solely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r>
          </w:p>
          <w:p>
            <w:pPr>
              <w:spacing w:after="0" w:before="140"/>
              <w:ind w:right="80" w:left="80" w:firstLine="0"/>
            </w:pPr>
            <w:r>
              <w:rPr>
                <w:rFonts w:ascii="Calibri" w:hAnsi="Calibri"/>
                <w:b w:val="0"/>
                <w:i w:val="0"/>
                <w:color w:val="222222"/>
                <w:sz w:val="19"/>
              </w:rPr>
              <w:t>6. The Commission shall ensure that an online verification system performing automated checks of the authenticity of the identification, registration and ownership of dogs or cats advertised online, using the database referred to in Article 19, is publicly available free of charge and generates the unique verification token referred to in point 3(c).</w:t>
            </w:r>
          </w:p>
          <w:p>
            <w:pPr>
              <w:spacing w:after="0" w:before="140"/>
              <w:ind w:right="80" w:left="80" w:firstLine="0"/>
            </w:pPr>
            <w:r>
              <w:rPr>
                <w:rFonts w:ascii="Calibri" w:hAnsi="Calibri"/>
                <w:b w:val="0"/>
                <w:i w:val="0"/>
                <w:color w:val="222222"/>
                <w:sz w:val="19"/>
              </w:rPr>
              <w:t>7. The Commission shall adopt implementing acts laying down the exact information to be provided and the technical requirements for the verification system.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A ser preenchido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portuguesas a ser adicionadas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Professional training of dog and cat caretakers  ·  Art.º 18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9 the competent authorities shall be responsible for:</w:t>
            </w:r>
          </w:p>
          <w:p>
            <w:pPr>
              <w:spacing w:after="0" w:before="100"/>
              <w:ind w:right="80" w:left="360" w:hanging="280"/>
            </w:pPr>
            <w:r>
              <w:rPr>
                <w:rFonts w:ascii="Calibri" w:hAnsi="Calibri"/>
                <w:b w:val="0"/>
                <w:i w:val="0"/>
                <w:color w:val="222222"/>
                <w:sz w:val="19"/>
              </w:rPr>
              <w:t>a) ensuring that training courses are available for animal caretakers;</w:t>
            </w:r>
          </w:p>
          <w:p>
            <w:pPr>
              <w:spacing w:after="0" w:before="100"/>
              <w:ind w:right="80" w:left="360" w:hanging="280"/>
            </w:pPr>
            <w:r>
              <w:rPr>
                <w:rFonts w:ascii="Calibri" w:hAnsi="Calibri"/>
                <w:b w:val="0"/>
                <w:i w:val="0"/>
                <w:color w:val="222222"/>
                <w:sz w:val="19"/>
              </w:rPr>
              <w:t>b) approving the content of the training courses referred to in point (a), taking into account the minimum requirements laid down by the implementing acts referred to in Article 9(3);</w:t>
            </w:r>
          </w:p>
          <w:p>
            <w:pPr>
              <w:spacing w:after="0" w:before="140"/>
              <w:ind w:right="80" w:left="80" w:firstLine="0"/>
            </w:pPr>
            <w:r>
              <w:rPr>
                <w:rFonts w:ascii="Calibri" w:hAnsi="Calibri"/>
                <w:b w:val="0"/>
                <w:i w:val="0"/>
                <w:color w:val="222222"/>
                <w:sz w:val="19"/>
              </w:rPr>
              <w:t>ba) certifying the animal caretakers who successfully completed the training courses referred to in point (a).</w:t>
            </w:r>
          </w:p>
          <w:p>
            <w:pPr>
              <w:spacing w:after="0" w:before="140"/>
              <w:ind w:right="80" w:left="80" w:firstLine="0"/>
            </w:pPr>
            <w:r>
              <w:rPr>
                <w:rFonts w:ascii="Calibri" w:hAnsi="Calibri"/>
                <w:b w:val="0"/>
                <w:i w:val="0"/>
                <w:color w:val="222222"/>
                <w:sz w:val="19"/>
              </w:rPr>
              <w:t>2. The competent authorities may delegate the task referred to in point (ba).</w:t>
            </w:r>
          </w:p>
          <w:p>
            <w:pPr>
              <w:spacing w:after="0" w:before="140"/>
              <w:ind w:right="80" w:left="80" w:firstLine="0"/>
            </w:pPr>
            <w:r>
              <w:rPr>
                <w:rFonts w:ascii="Calibri" w:hAnsi="Calibri"/>
                <w:b w:val="0"/>
                <w:i w:val="0"/>
                <w:color w:val="222222"/>
                <w:sz w:val="19"/>
              </w:rPr>
              <w:t>3. A European Union Reference Centre for Animal Welfare designated in accordance with Article 95 of Regulation (EU) 2017/625 may develop models of training materials and recommendations for the providers of training courses referred to in paragraph 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A ser preenchido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portuguesas a ser adicionadas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 on dogs and cats  ·  Art.º 19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17(1) and (2) and Article 21(4) and the second subparagraph of Article 21(4a).</w:t>
            </w:r>
          </w:p>
          <w:p>
            <w:pPr>
              <w:spacing w:after="0" w:before="140"/>
              <w:ind w:right="80" w:left="80" w:firstLine="0"/>
            </w:pPr>
            <w:r>
              <w:rPr>
                <w:rFonts w:ascii="Calibri" w:hAnsi="Calibri"/>
                <w:b w:val="0"/>
                <w:i w:val="0"/>
                <w:color w:val="222222"/>
                <w:sz w:val="19"/>
              </w:rPr>
              <w:t>1a. For that purpose, the Member States may use databases maintained by another Member State, based on appropriate arrangements between those Member States.</w:t>
            </w:r>
          </w:p>
          <w:p>
            <w:pPr>
              <w:spacing w:after="0" w:before="140"/>
              <w:ind w:right="80" w:left="80" w:firstLine="0"/>
            </w:pPr>
            <w:r>
              <w:rPr>
                <w:rFonts w:ascii="Calibri" w:hAnsi="Calibri"/>
                <w:b w:val="0"/>
                <w:i w:val="0"/>
                <w:color w:val="222222"/>
                <w:sz w:val="19"/>
              </w:rPr>
              <w:t>2. Member States shall ensure that their databases as referred to in paragraph 1 comply with the requirements laid down by the implementing act referred to in point (b) of paragraph 3 to ensure their interoperability so that the identification of a dog or a cat can be authenticated and traced across the Union.</w:t>
            </w:r>
          </w:p>
          <w:p>
            <w:pPr>
              <w:spacing w:after="0" w:before="140"/>
              <w:ind w:right="80" w:left="80" w:firstLine="0"/>
            </w:pPr>
            <w:r>
              <w:rPr>
                <w:rFonts w:ascii="Calibri" w:hAnsi="Calibri"/>
                <w:b w:val="0"/>
                <w:i w:val="0"/>
                <w:color w:val="222222"/>
                <w:sz w:val="19"/>
              </w:rPr>
              <w:t>2a. The Commission shall establish and maintain an index database containing the minimum set of fields defined under article 19(3)(b). The Commission may entrust the development, maintenance and operation of this index database to an independent entity, following a public selection process, pursuant to the relevant provisions of Title VII of the Regulation (EU, Euratom) 2024/2509.</w:t>
            </w:r>
          </w:p>
          <w:p>
            <w:pPr>
              <w:spacing w:after="0" w:before="140"/>
              <w:ind w:right="80" w:left="80" w:firstLine="0"/>
            </w:pPr>
            <w:r>
              <w:rPr>
                <w:rFonts w:ascii="Calibri" w:hAnsi="Calibri"/>
                <w:b w:val="0"/>
                <w:i w:val="0"/>
                <w:color w:val="222222"/>
                <w:sz w:val="19"/>
              </w:rPr>
              <w:t>3. The Commission shall, by means of implementing acts, lay down provisions concerning:</w:t>
            </w:r>
          </w:p>
          <w:p>
            <w:pPr>
              <w:spacing w:after="0" w:before="100"/>
              <w:ind w:right="80" w:left="360" w:hanging="280"/>
            </w:pPr>
            <w:r>
              <w:rPr>
                <w:rFonts w:ascii="Calibri" w:hAnsi="Calibri"/>
                <w:b w:val="0"/>
                <w:i w:val="0"/>
                <w:color w:val="222222"/>
                <w:sz w:val="19"/>
              </w:rPr>
              <w:t>a) the minimum content of the databases referred to in paragraph 1;</w:t>
            </w:r>
          </w:p>
          <w:p>
            <w:pPr>
              <w:spacing w:after="0" w:before="100"/>
              <w:ind w:right="80" w:left="360" w:hanging="280"/>
            </w:pPr>
            <w:r>
              <w:rPr>
                <w:rFonts w:ascii="Calibri" w:hAnsi="Calibri"/>
                <w:b w:val="0"/>
                <w:i w:val="0"/>
                <w:color w:val="222222"/>
                <w:sz w:val="19"/>
              </w:rPr>
              <w:t>b) the interoperability between Member States databases and the index database, including the minimum set of fields transmitted to the Index database and the intervals of the transmission;</w:t>
            </w:r>
          </w:p>
          <w:p>
            <w:pPr>
              <w:spacing w:after="0" w:before="100"/>
              <w:ind w:right="80" w:left="360" w:hanging="280"/>
            </w:pPr>
            <w:r>
              <w:rPr>
                <w:rFonts w:ascii="Calibri" w:hAnsi="Calibri"/>
                <w:b w:val="0"/>
                <w:i w:val="0"/>
                <w:color w:val="222222"/>
                <w:sz w:val="19"/>
              </w:rPr>
              <w:t>c) the functionality for providing proof of the identification and registration of a dog or a cat, as referred to in article 17a (3) point (a);</w:t>
            </w:r>
          </w:p>
          <w:p>
            <w:pPr>
              <w:spacing w:after="0" w:before="100"/>
              <w:ind w:right="80" w:left="360" w:hanging="280"/>
            </w:pPr>
            <w:r>
              <w:rPr>
                <w:rFonts w:ascii="Calibri" w:hAnsi="Calibri"/>
                <w:b w:val="0"/>
                <w:i w:val="0"/>
                <w:color w:val="222222"/>
                <w:sz w:val="19"/>
              </w:rPr>
              <w:t>d) a registry where Member States will declare their databases, and the necessary parameters for connecting those databases with one another in accordance with the provisions established pursuant to point (b);</w:t>
            </w:r>
          </w:p>
          <w:p>
            <w:pPr>
              <w:spacing w:after="0" w:before="140"/>
              <w:ind w:right="80" w:left="80" w:firstLine="0"/>
            </w:pPr>
            <w:r>
              <w:rPr>
                <w:rFonts w:ascii="Calibri" w:hAnsi="Calibri"/>
                <w:b w:val="0"/>
                <w:i w:val="0"/>
                <w:color w:val="222222"/>
                <w:sz w:val="19"/>
              </w:rPr>
              <w:t>fa) The interconnection between the Member States databases referred to in paragraph 1, the pet travellers' database referred to in Article 21 paragraph 4a, and the Information Management System for Official Controls (IMSOC), where relevant.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A ser preenchido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portuguesas a ser adicionadas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20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set out in Annex III.</w:t>
            </w:r>
          </w:p>
          <w:p>
            <w:pPr>
              <w:spacing w:after="0" w:before="140"/>
              <w:ind w:right="80" w:left="80" w:firstLine="0"/>
            </w:pPr>
            <w:r>
              <w:rPr>
                <w:rFonts w:ascii="Calibri" w:hAnsi="Calibri"/>
                <w:b w:val="0"/>
                <w:i w:val="0"/>
                <w:color w:val="222222"/>
                <w:sz w:val="19"/>
              </w:rPr>
              <w:t>2. The competent authorities shall draw up and transmit to the Commission a report in electronic form, on the data set out in Annex III, by 31 August every 3 years starting from [6 years from the date of entry into force of this Regulation], summarising the data gathered for the previous 3 years.</w:t>
            </w:r>
          </w:p>
          <w:p>
            <w:pPr>
              <w:spacing w:after="0" w:before="140"/>
              <w:ind w:right="80" w:left="80" w:firstLine="0"/>
            </w:pPr>
            <w:r>
              <w:rPr>
                <w:rFonts w:ascii="Calibri" w:hAnsi="Calibri"/>
                <w:b w:val="0"/>
                <w:i w:val="0"/>
                <w:color w:val="222222"/>
                <w:sz w:val="19"/>
              </w:rPr>
              <w:t>3. The Commission may, by means of implementing acts, establish a harmonised methodology for collecting the data set out in Annex III and establish a template for the report referred to in paragraph 2 of this Article. Those implementing acts shall be adopted in accordance with the examination procedure referred to in Article 24.</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A ser preenchido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A ser preenchido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ser preenchido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portuguesas a ser adicionadas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20a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competent authorities of the Member States shall be controllers within the meaning of Regulation (EU) 2016/679 in relation to the processing of personal data collected under Article 7, Article 7a of this Regulation as well as under Article 19(1) of this Regulation when used for the purposes of official control.</w:t>
            </w:r>
          </w:p>
          <w:p>
            <w:pPr>
              <w:spacing w:after="0" w:before="14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17a (6), Article 19 (2a) and the third subparagraph of Article 21(4a) of this Regulation, as well as under Article 19(1) of this Regulation when used for the purposes of compliance with Article 108 of Regulation (EU) 2017/625 and of reporting obligations under this Regulation.</w:t>
            </w:r>
          </w:p>
          <w:p>
            <w:pPr>
              <w:spacing w:after="0" w:before="140"/>
              <w:ind w:right="80" w:left="80" w:firstLine="0"/>
            </w:pPr>
            <w:r>
              <w:rPr>
                <w:rFonts w:ascii="Calibri" w:hAnsi="Calibri"/>
                <w:b w:val="0"/>
                <w:i w:val="0"/>
                <w:color w:val="222222"/>
                <w:sz w:val="19"/>
              </w:rPr>
              <w:t>It shall be prohibited for any person having access to the personal data referred to in the first and second sub-paragraphs to divulge any personal data, the knowledge of which was acquired in the exercise of their duties or otherwise incidentally to such exercise.</w:t>
            </w:r>
          </w:p>
          <w:p>
            <w:pPr>
              <w:spacing w:after="0" w:before="140"/>
              <w:ind w:right="80" w:left="80" w:firstLine="0"/>
            </w:pPr>
            <w:r>
              <w:rPr>
                <w:rFonts w:ascii="Calibri" w:hAnsi="Calibri"/>
                <w:b w:val="0"/>
                <w:i w:val="0"/>
                <w:color w:val="222222"/>
                <w:sz w:val="19"/>
              </w:rPr>
              <w:t>Member States and the Commission shall take all appropriate measures to address infringements of that prohibition.</w:t>
            </w:r>
          </w:p>
          <w:p>
            <w:pPr>
              <w:spacing w:after="0" w:before="140"/>
              <w:ind w:right="80" w:left="80" w:firstLine="0"/>
            </w:pPr>
            <w:r>
              <w:rPr>
                <w:rFonts w:ascii="Calibri" w:hAnsi="Calibri"/>
                <w:b w:val="0"/>
                <w:i w:val="0"/>
                <w:color w:val="222222"/>
                <w:sz w:val="19"/>
              </w:rPr>
              <w:t>The personal data collected under the first and second sub-paragraphs shall not be used for other purposes than:</w:t>
            </w:r>
          </w:p>
          <w:p>
            <w:pPr>
              <w:spacing w:after="0" w:before="100"/>
              <w:ind w:right="80" w:left="360" w:hanging="280"/>
            </w:pPr>
            <w:r>
              <w:rPr>
                <w:rFonts w:ascii="Calibri" w:hAnsi="Calibri"/>
                <w:b w:val="0"/>
                <w:i w:val="0"/>
                <w:color w:val="222222"/>
                <w:sz w:val="19"/>
              </w:rPr>
              <w:t>a) official controls by Member States competent authorities of the compliance with the welfare and traceability requirements under this regulation and compliance with Regulation (EU) 2016/429, including and detection of fraudulent practices, and</w:t>
            </w:r>
          </w:p>
          <w:p>
            <w:pPr>
              <w:spacing w:after="0" w:before="100"/>
              <w:ind w:right="80" w:left="360" w:hanging="280"/>
            </w:pPr>
            <w:r>
              <w:rPr>
                <w:rFonts w:ascii="Calibri" w:hAnsi="Calibri"/>
                <w:b w:val="0"/>
                <w:i w:val="0"/>
                <w:color w:val="222222"/>
                <w:sz w:val="19"/>
              </w:rPr>
              <w:t>b) compliance by the Commission of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The personal data referred to in paragraph 1 of this Article shall be retained for the following periods:</w:t>
            </w:r>
          </w:p>
          <w:p>
            <w:pPr>
              <w:spacing w:after="0" w:before="100"/>
              <w:ind w:right="80" w:left="360" w:hanging="280"/>
            </w:pPr>
            <w:r>
              <w:rPr>
                <w:rFonts w:ascii="Calibri" w:hAnsi="Calibri"/>
                <w:b w:val="0"/>
                <w:i w:val="0"/>
                <w:color w:val="222222"/>
                <w:sz w:val="19"/>
              </w:rPr>
              <w:t>a) in the case of Article 7 and Article 7a, 10 years after the date of cessation of the activity of the establishment;</w:t>
            </w:r>
          </w:p>
          <w:p>
            <w:pPr>
              <w:spacing w:after="0" w:before="100"/>
              <w:ind w:right="80" w:left="360" w:hanging="280"/>
            </w:pPr>
            <w:r>
              <w:rPr>
                <w:rFonts w:ascii="Calibri" w:hAnsi="Calibri"/>
                <w:b w:val="0"/>
                <w:i w:val="0"/>
                <w:color w:val="222222"/>
                <w:sz w:val="19"/>
              </w:rPr>
              <w:t>b) in the case of Article 17a(6), 18 months after the generation of the token referred to in Article 17a(3)(c).</w:t>
            </w:r>
          </w:p>
          <w:p>
            <w:pPr>
              <w:spacing w:after="0" w:before="100"/>
              <w:ind w:right="80" w:left="360" w:hanging="280"/>
            </w:pPr>
            <w:r>
              <w:rPr>
                <w:rFonts w:ascii="Calibri" w:hAnsi="Calibri"/>
                <w:b w:val="0"/>
                <w:i w:val="0"/>
                <w:color w:val="222222"/>
                <w:sz w:val="19"/>
              </w:rPr>
              <w:t>c) in case of Article 19(1), and Article 19(2a), 25 years after the first registration of the dog or cat in the database referred to in that Article or 5 years after the recording of the death of the dog or cat in that database;</w:t>
            </w:r>
          </w:p>
          <w:p>
            <w:pPr>
              <w:spacing w:after="0" w:before="100"/>
              <w:ind w:right="80" w:left="360" w:hanging="280"/>
            </w:pPr>
            <w:r>
              <w:rPr>
                <w:rFonts w:ascii="Calibri" w:hAnsi="Calibri"/>
                <w:b w:val="0"/>
                <w:i w:val="0"/>
                <w:color w:val="222222"/>
                <w:sz w:val="19"/>
              </w:rPr>
              <w:t>d) in case of the third subparagraph of Article 21(4a),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As autoridades competentes dos Estados-Membros devem ser controladoras no sentido do Regulamento (UE) 2016/679 em relação ao tratamento de dados pessoais recolhidos de acordo com o Artigo 7, Artigo 7a do presente Regulamento, bem como no âmbito do Artigo 19(1) do presente Regulamento quando utilizados para efeitos de inspeção oficial.</w:t>
            </w:r>
          </w:p>
          <w:p>
            <w:pPr>
              <w:spacing w:after="0" w:before="140"/>
              <w:ind w:right="80" w:left="80" w:firstLine="0"/>
            </w:pPr>
            <w:r>
              <w:rPr>
                <w:rFonts w:ascii="Calibri" w:hAnsi="Calibri"/>
                <w:b w:val="0"/>
                <w:i/>
                <w:color w:val="222222"/>
                <w:sz w:val="19"/>
              </w:rPr>
              <w:t>A Comissão deve ser controladora no sentido do Regulamento (UE) 2018/1725 em relação ao tratamento de dados pessoais recolhidos de acordo com o Artigo 17a (6), Artigo 19 (2a) e o terceiro parágrafo do Artigo 21(4a) do presente Regulamento, bem como no âmbito do Artigo 19(1) do presente Regulamento quando utilizados para efeitos de conformidade com o Artigo 108 do Regulamento (UE) 2017/625 e de obrigações de comunicação de informações previstas no presente Regulamento.</w:t>
            </w:r>
          </w:p>
          <w:p>
            <w:pPr>
              <w:spacing w:after="0" w:before="140"/>
              <w:ind w:right="80" w:left="80" w:firstLine="0"/>
            </w:pPr>
            <w:r>
              <w:rPr>
                <w:rFonts w:ascii="Calibri" w:hAnsi="Calibri"/>
                <w:b w:val="0"/>
                <w:i/>
                <w:color w:val="222222"/>
                <w:sz w:val="19"/>
              </w:rPr>
              <w:t>Fica proibido a qualquer pessoa com acesso aos dados pessoais mencionados no primeiro e segundo parágrafos divulgar quaisquer dados pessoais, cuja notícia foi adquirida no exercício das suas funções ou de forma incidental a tal exercício.</w:t>
            </w:r>
          </w:p>
          <w:p>
            <w:pPr>
              <w:spacing w:after="0" w:before="140"/>
              <w:ind w:right="80" w:left="80" w:firstLine="0"/>
            </w:pPr>
            <w:r>
              <w:rPr>
                <w:rFonts w:ascii="Calibri" w:hAnsi="Calibri"/>
                <w:b w:val="0"/>
                <w:i/>
                <w:color w:val="222222"/>
                <w:sz w:val="19"/>
              </w:rPr>
              <w:t>Os Estados-Membros e a Comissão devem adotar todas as medidas apropriadas para fazer face aos incumprimentos dessa proibição.</w:t>
            </w:r>
          </w:p>
          <w:p>
            <w:pPr>
              <w:spacing w:after="0" w:before="140"/>
              <w:ind w:right="80" w:left="80" w:firstLine="0"/>
            </w:pPr>
            <w:r>
              <w:rPr>
                <w:rFonts w:ascii="Calibri" w:hAnsi="Calibri"/>
                <w:b w:val="0"/>
                <w:i/>
                <w:color w:val="222222"/>
                <w:sz w:val="19"/>
              </w:rPr>
              <w:t>[... redução para brevidade - ver regulamento completo para texto integral]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14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14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14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Legislação portuguesa cobre completamente com incorporação de GDPR</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Cobertura expressa em Art. 55.º</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Implementação completa em Arts. 20.º</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os requisitos de proteção de dados do Artigo 20a. O SIAC é configurado como sistema compliant com GDPR (EU 2016/679) e com regulamentações de proteção de dados. Não há necessidade de alterações legislativas.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confirmadas por agente de pesquisa em 2026-03-02</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Dogs and cats may only be entered into the Union for placing on the Union market provided that the following conditions are met:</w:t>
            </w:r>
          </w:p>
          <w:p>
            <w:pPr>
              <w:spacing w:after="0" w:before="100"/>
              <w:ind w:right="80" w:left="360" w:hanging="280"/>
            </w:pPr>
            <w:r>
              <w:rPr>
                <w:rFonts w:ascii="Calibri" w:hAnsi="Calibri"/>
                <w:b w:val="0"/>
                <w:i w:val="0"/>
                <w:color w:val="222222"/>
                <w:sz w:val="19"/>
              </w:rPr>
              <w:t>a) they have been breed and kept in compliance with any of the following:</w:t>
            </w:r>
          </w:p>
          <w:p>
            <w:pPr>
              <w:spacing w:after="0" w:before="20"/>
              <w:ind w:right="80" w:left="360" w:hanging="280"/>
            </w:pPr>
            <w:r>
              <w:rPr>
                <w:rFonts w:ascii="Calibri" w:hAnsi="Calibri"/>
                <w:b w:val="0"/>
                <w:i w:val="0"/>
                <w:color w:val="222222"/>
                <w:sz w:val="19"/>
              </w:rPr>
              <w:t>i) Chapter II of this Regulation;</w:t>
            </w:r>
          </w:p>
          <w:p>
            <w:pPr>
              <w:spacing w:after="0" w:before="20"/>
              <w:ind w:right="80" w:left="80" w:firstLine="0"/>
            </w:pPr>
            <w:r>
              <w:rPr>
                <w:rFonts w:ascii="Calibri" w:hAnsi="Calibri"/>
                <w:b w:val="0"/>
                <w:i w:val="0"/>
                <w:color w:val="222222"/>
                <w:sz w:val="19"/>
              </w:rPr>
              <w:t>ii) conditions recognised by the Union in accordance with Article 129 of Regulation (EU) 2017/625 to be equivalent to those set out by Chapter II of this Regulation; or</w:t>
            </w:r>
          </w:p>
          <w:p>
            <w:pPr>
              <w:spacing w:after="0" w:before="20"/>
              <w:ind w:right="80" w:left="80" w:firstLine="0"/>
            </w:pPr>
            <w:r>
              <w:rPr>
                <w:rFonts w:ascii="Calibri" w:hAnsi="Calibri"/>
                <w:b w:val="0"/>
                <w:i w:val="0"/>
                <w:color w:val="222222"/>
                <w:sz w:val="19"/>
              </w:rPr>
              <w:t>iii) where applicable, requirements contained in a specific agreement between the Union and the exporting country.</w:t>
            </w:r>
          </w:p>
          <w:p>
            <w:pPr>
              <w:spacing w:after="0" w:before="100"/>
              <w:ind w:right="80" w:left="360" w:hanging="280"/>
            </w:pPr>
            <w:r>
              <w:rPr>
                <w:rFonts w:ascii="Calibri" w:hAnsi="Calibri"/>
                <w:b w:val="0"/>
                <w:i w:val="0"/>
                <w:color w:val="222222"/>
                <w:sz w:val="19"/>
              </w:rPr>
              <w:t>b) they come from a third country or territory and an establishment listed in accordance with Articles 126 and 127 of Regulation (EU) 2017/625.</w:t>
            </w:r>
          </w:p>
          <w:p>
            <w:pPr>
              <w:spacing w:after="0" w:before="140"/>
              <w:ind w:right="80" w:left="80" w:firstLine="0"/>
            </w:pPr>
            <w:r>
              <w:rPr>
                <w:rFonts w:ascii="Calibri" w:hAnsi="Calibri"/>
                <w:b w:val="0"/>
                <w:i w:val="0"/>
                <w:color w:val="222222"/>
                <w:sz w:val="19"/>
              </w:rPr>
              <w:t>2. The official certificate referred to in Article 126(2)(c) of Regulation (EU) 2017/625 accompanying dogs and cats entering into the Union from third countries and territories to be placed on the Union market, shall contain an attestation certifying compliance with paragraph 1 of this Article.</w:t>
            </w:r>
          </w:p>
          <w:p>
            <w:pPr>
              <w:spacing w:after="0" w:before="140"/>
              <w:ind w:right="80" w:left="80" w:firstLine="0"/>
            </w:pPr>
            <w:r>
              <w:rPr>
                <w:rFonts w:ascii="Calibri" w:hAnsi="Calibri"/>
                <w:b w:val="0"/>
                <w:i w:val="0"/>
                <w:color w:val="222222"/>
                <w:sz w:val="19"/>
              </w:rPr>
              <w:t>3. Dogs and cats entering into the Union to be placed on the Union market shall be identified before their entry by a veterinarian by means of an injectable transponder containing a readable microchip compliant with Annex II.</w:t>
            </w:r>
          </w:p>
          <w:p>
            <w:pPr>
              <w:spacing w:after="0" w:before="140"/>
              <w:ind w:right="80" w:left="80" w:firstLine="0"/>
            </w:pPr>
            <w:r>
              <w:rPr>
                <w:rFonts w:ascii="Calibri" w:hAnsi="Calibri"/>
                <w:b w:val="0"/>
                <w:i w:val="0"/>
                <w:color w:val="222222"/>
                <w:sz w:val="19"/>
              </w:rPr>
              <w:t>4. The operator responsible for the import of dogs or cats entering into the Union shall ensure the registration of the dogs or cats by a veterinarian into a national database referred to in Article 19(1), within 5 working days after their entry into the Union.</w:t>
            </w:r>
          </w:p>
          <w:p>
            <w:pPr>
              <w:spacing w:after="0" w:before="140"/>
              <w:ind w:right="80" w:left="80" w:firstLine="0"/>
            </w:pPr>
            <w:r>
              <w:rPr>
                <w:rFonts w:ascii="Calibri" w:hAnsi="Calibri"/>
                <w:b w:val="0"/>
                <w:i w:val="0"/>
                <w:color w:val="222222"/>
                <w:sz w:val="19"/>
              </w:rPr>
              <w:t>[... ver regulamento completo para restantes parágrafos 4a e 5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partir de [data de implementação], os cães e os gatos só podem ser introduzidos na União para colocação no mercado da União se tiverem estado detidos em conformidade com o indicado numa das alíneas seguintes...</w:t>
            </w:r>
          </w:p>
          <w:p>
            <w:pPr>
              <w:spacing w:after="0" w:before="140"/>
              <w:ind w:right="80" w:left="80" w:firstLine="0"/>
            </w:pPr>
            <w:r>
              <w:rPr>
                <w:rFonts w:ascii="Calibri" w:hAnsi="Calibri"/>
                <w:b w:val="0"/>
                <w:i/>
                <w:color w:val="222222"/>
                <w:sz w:val="19"/>
              </w:rPr>
              <w:t>[Tradução 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14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14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14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14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14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i w:val="0"/>
                <w:color w:val="333333"/>
                <w:sz w:val="18"/>
              </w:rPr>
              <w:t>Artigo 2.º - Âmbito de Aplicação</w:t>
            </w:r>
          </w:p>
          <w:p>
            <w:pPr>
              <w:spacing w:after="0" w:before="140"/>
              <w:ind w:right="80" w:left="80" w:firstLine="0"/>
            </w:pPr>
            <w:r>
              <w:rPr>
                <w:rFonts w:ascii="Calibri" w:hAnsi="Calibri"/>
                <w:b w:val="0"/>
                <w:i w:val="0"/>
                <w:color w:val="222222"/>
                <w:sz w:val="19"/>
              </w:rPr>
              <w:t>O presente decreto-lei aplica-se à identificação de animais de companhia das espécies referidas no anexo I do Regulamento (UE) n.º 576/2013, do Parlamento Europeu e do Conselho, de 12 de junho de 2013, e no anexo I do Regulamento (UE) n.º 2016/429, do Parlamento Europeu e do Conselho, de 9 de março de 2016, nascidos ou presentes no território nacional.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entrada/importação mas sem database online de viajantes pré-notificação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Implementa controlos sanitários e requisitos de identificação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entrada no território nacional com condições, não cobre movimento não-comercial pré-notificação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Parcialmente coberto. Complementação necessária para movimento não-comercial e sistema iRASFF.</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Commission is empowered to adopt delegated acts in accordance with Article 23 amending the Annexes to this Regulation to take into account of scientific and technical progress, including, when relevant, scientific opinions of the European Food Safety Authority, as regards:</w:t>
            </w:r>
          </w:p>
          <w:p>
            <w:pPr>
              <w:spacing w:after="0" w:before="100"/>
              <w:ind w:right="80" w:left="360" w:hanging="280"/>
            </w:pPr>
            <w:r>
              <w:rPr>
                <w:rFonts w:ascii="Calibri" w:hAnsi="Calibri"/>
                <w:b w:val="0"/>
                <w:i w:val="0"/>
                <w:color w:val="222222"/>
                <w:sz w:val="19"/>
              </w:rPr>
              <w:t>a) a suitable number of animal caretakers in breeding and selling establishments;</w:t>
            </w:r>
          </w:p>
          <w:p>
            <w:pPr>
              <w:spacing w:after="0" w:before="100"/>
              <w:ind w:right="80" w:left="360" w:hanging="280"/>
            </w:pPr>
            <w:r>
              <w:rPr>
                <w:rFonts w:ascii="Calibri" w:hAnsi="Calibri"/>
                <w:b w:val="0"/>
                <w:i w:val="0"/>
                <w:color w:val="222222"/>
                <w:sz w:val="19"/>
              </w:rPr>
              <w:t>b) watering and feeding requirements and weaning process;</w:t>
            </w:r>
          </w:p>
          <w:p>
            <w:pPr>
              <w:spacing w:after="0" w:before="100"/>
              <w:ind w:right="80" w:left="360" w:hanging="280"/>
            </w:pPr>
            <w:r>
              <w:rPr>
                <w:rFonts w:ascii="Calibri" w:hAnsi="Calibri"/>
                <w:b w:val="0"/>
                <w:i w:val="0"/>
                <w:color w:val="222222"/>
                <w:sz w:val="19"/>
              </w:rPr>
              <w:t>c) temperature ranges;</w:t>
            </w:r>
          </w:p>
          <w:p>
            <w:pPr>
              <w:spacing w:after="0" w:before="100"/>
              <w:ind w:right="80" w:left="360" w:hanging="280"/>
            </w:pPr>
            <w:r>
              <w:rPr>
                <w:rFonts w:ascii="Calibri" w:hAnsi="Calibri"/>
                <w:b w:val="0"/>
                <w:i w:val="0"/>
                <w:color w:val="222222"/>
                <w:sz w:val="19"/>
              </w:rPr>
              <w:t>d) lighting requirements;</w:t>
            </w:r>
          </w:p>
          <w:p>
            <w:pPr>
              <w:spacing w:after="0" w:before="100"/>
              <w:ind w:right="80" w:left="360" w:hanging="280"/>
            </w:pPr>
            <w:r>
              <w:rPr>
                <w:rFonts w:ascii="Calibri" w:hAnsi="Calibri"/>
                <w:b w:val="0"/>
                <w:i w:val="0"/>
                <w:color w:val="222222"/>
                <w:sz w:val="19"/>
              </w:rPr>
              <w:t>e) ammonia and carbon monoxide levels;</w:t>
            </w:r>
          </w:p>
          <w:p>
            <w:pPr>
              <w:spacing w:after="0" w:before="100"/>
              <w:ind w:right="80" w:left="360" w:hanging="280"/>
            </w:pPr>
            <w:r>
              <w:rPr>
                <w:rFonts w:ascii="Calibri" w:hAnsi="Calibri"/>
                <w:b w:val="0"/>
                <w:i w:val="0"/>
                <w:color w:val="222222"/>
                <w:sz w:val="19"/>
              </w:rPr>
              <w:t>f) kennel and cattery design;</w:t>
            </w:r>
          </w:p>
          <w:p>
            <w:pPr>
              <w:spacing w:after="0" w:before="100"/>
              <w:ind w:right="80" w:left="360" w:hanging="280"/>
            </w:pPr>
            <w:r>
              <w:rPr>
                <w:rFonts w:ascii="Calibri" w:hAnsi="Calibri"/>
                <w:b w:val="0"/>
                <w:i w:val="0"/>
                <w:color w:val="222222"/>
                <w:sz w:val="19"/>
              </w:rPr>
              <w:t>g) group housing;</w:t>
            </w:r>
          </w:p>
          <w:p>
            <w:pPr>
              <w:spacing w:after="0" w:before="100"/>
              <w:ind w:right="80" w:left="360" w:hanging="280"/>
            </w:pPr>
            <w:r>
              <w:rPr>
                <w:rFonts w:ascii="Calibri" w:hAnsi="Calibri"/>
                <w:b w:val="0"/>
                <w:i w:val="0"/>
                <w:color w:val="222222"/>
                <w:sz w:val="19"/>
              </w:rPr>
              <w:t>h) space allowances for different categories of dogs and cats;</w:t>
            </w:r>
          </w:p>
          <w:p>
            <w:pPr>
              <w:spacing w:after="0" w:before="100"/>
              <w:ind w:right="80" w:left="360" w:hanging="280"/>
            </w:pPr>
            <w:r>
              <w:rPr>
                <w:rFonts w:ascii="Calibri" w:hAnsi="Calibri"/>
                <w:b w:val="0"/>
                <w:i w:val="0"/>
                <w:color w:val="222222"/>
                <w:sz w:val="19"/>
              </w:rPr>
              <w:t>i) frequency of pregnancies;</w:t>
            </w:r>
          </w:p>
          <w:p>
            <w:pPr>
              <w:spacing w:after="0" w:before="100"/>
              <w:ind w:right="80" w:left="360" w:hanging="280"/>
            </w:pPr>
            <w:r>
              <w:rPr>
                <w:rFonts w:ascii="Calibri" w:hAnsi="Calibri"/>
                <w:b w:val="0"/>
                <w:i w:val="0"/>
                <w:color w:val="222222"/>
                <w:sz w:val="19"/>
              </w:rPr>
              <w:t>j) minimum and maximum age of bitches and queens for breeding;</w:t>
            </w:r>
          </w:p>
          <w:p>
            <w:pPr>
              <w:spacing w:after="0" w:before="100"/>
              <w:ind w:right="80" w:left="360" w:hanging="280"/>
            </w:pPr>
            <w:r>
              <w:rPr>
                <w:rFonts w:ascii="Calibri" w:hAnsi="Calibri"/>
                <w:b w:val="0"/>
                <w:i w:val="0"/>
                <w:color w:val="222222"/>
                <w:sz w:val="19"/>
              </w:rPr>
              <w:t>k) socialisation, enrichment and other measures for meeting behavioural needs of dogs and cats;</w:t>
            </w:r>
          </w:p>
          <w:p>
            <w:pPr>
              <w:spacing w:after="0" w:before="100"/>
              <w:ind w:right="80" w:left="360" w:hanging="280"/>
            </w:pPr>
            <w:r>
              <w:rPr>
                <w:rFonts w:ascii="Calibri" w:hAnsi="Calibri"/>
                <w:b w:val="0"/>
                <w:i w:val="0"/>
                <w:color w:val="222222"/>
                <w:sz w:val="19"/>
              </w:rPr>
              <w:t>l) requirements for transponders used to individually identify dogs and cats;</w:t>
            </w:r>
          </w:p>
          <w:p>
            <w:pPr>
              <w:spacing w:after="0" w:before="100"/>
              <w:ind w:right="80" w:left="360" w:hanging="280"/>
            </w:pPr>
            <w:r>
              <w:rPr>
                <w:rFonts w:ascii="Calibri" w:hAnsi="Calibri"/>
                <w:b w:val="0"/>
                <w:i w:val="0"/>
                <w:color w:val="222222"/>
                <w:sz w:val="19"/>
              </w:rPr>
              <w:t>m) data to be collected for policy monitoring and evaluation.</w:t>
            </w:r>
          </w:p>
          <w:p>
            <w:pPr>
              <w:spacing w:after="0" w:before="140"/>
              <w:ind w:right="80" w:left="80" w:firstLine="0"/>
            </w:pPr>
            <w:r>
              <w:rPr>
                <w:rFonts w:ascii="Calibri" w:hAnsi="Calibri"/>
                <w:b w:val="0"/>
                <w:i w:val="0"/>
                <w:color w:val="222222"/>
                <w:sz w:val="19"/>
              </w:rPr>
              <w:t>2. Any additions of requirements in the Annexes shall be based on updated scientific or technical evidence, in particular regarding the specific conditions needed to ensure the welfare of the dogs and cats covered by the scope of this Regulation. Where relevant, those delegated acts shall take into account social, economic and environmental impacts and provide for sufficient transition periods to allow for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Comissão fica habilitada a adotar atos delegados, nos termos do artigo 23.º, que alterem os anexos do presente regulamento para ter em conta o progresso científico e técnico, incluindo, se for caso disso, os pareceres científicos da EFSA...</w:t>
            </w:r>
          </w:p>
          <w:p>
            <w:pPr>
              <w:spacing w:after="0" w:before="140"/>
              <w:ind w:right="80" w:left="80" w:firstLine="0"/>
            </w:pPr>
            <w:r>
              <w:rPr>
                <w:rFonts w:ascii="Calibri" w:hAnsi="Calibri"/>
                <w:b w:val="0"/>
                <w:i/>
                <w:color w:val="222222"/>
                <w:sz w:val="19"/>
              </w:rPr>
              <w:t>[Tradução 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3-8 e ANEXO do RGBEAC (proposta, jun. 2025)</w:t>
            </w:r>
          </w:p>
          <w:p>
            <w:pPr>
              <w:spacing w:after="0" w:before="140"/>
              <w:ind w:right="80" w:left="80" w:firstLine="0"/>
            </w:pPr>
            <w:r>
              <w:rPr>
                <w:rFonts w:ascii="Calibri" w:hAnsi="Calibri"/>
                <w:b w:val="0"/>
                <w:i w:val="0"/>
                <w:color w:val="222222"/>
                <w:sz w:val="19"/>
              </w:rPr>
              <w:t>Artigos 3.º a 8.º do Decreto-Lei que aprova o RGBEAC estabelecem mecanismo legislativo para alteração de diplomas anteriores. O RGBEAC contém um ANEXO estruturado com:</w:t>
            </w:r>
          </w:p>
          <w:p>
            <w:pPr>
              <w:spacing w:after="0" w:before="140"/>
              <w:ind w:right="80" w:left="80" w:firstLine="0"/>
            </w:pPr>
            <w:r>
              <w:rPr>
                <w:rFonts w:ascii="Calibri" w:hAnsi="Calibri"/>
                <w:b w:val="0"/>
                <w:i w:val="0"/>
                <w:color w:val="222222"/>
                <w:sz w:val="19"/>
              </w:rPr>
              <w:t>- TÍTULO I: Disposições gerais</w:t>
            </w:r>
          </w:p>
          <w:p>
            <w:pPr>
              <w:spacing w:after="0" w:before="20"/>
              <w:ind w:right="80" w:left="80" w:firstLine="0"/>
            </w:pPr>
            <w:r>
              <w:rPr>
                <w:rFonts w:ascii="Calibri" w:hAnsi="Calibri"/>
                <w:b w:val="0"/>
                <w:i w:val="0"/>
                <w:color w:val="222222"/>
                <w:sz w:val="19"/>
              </w:rPr>
              <w:t>- TÍTULO II: Obrigações e proibições (Lista Nacional de Animais, identificação, registo)</w:t>
            </w:r>
          </w:p>
          <w:p>
            <w:pPr>
              <w:spacing w:after="0" w:before="20"/>
              <w:ind w:right="80" w:left="80" w:firstLine="0"/>
            </w:pPr>
            <w:r>
              <w:rPr>
                <w:rFonts w:ascii="Calibri" w:hAnsi="Calibri"/>
                <w:b w:val="0"/>
                <w:i w:val="0"/>
                <w:color w:val="222222"/>
                <w:sz w:val="19"/>
              </w:rPr>
              <w:t>- TÍTULO III: Fiscalização, contraordenações, crimes e sanções</w:t>
            </w:r>
          </w:p>
          <w:p>
            <w:pPr>
              <w:spacing w:after="0" w:before="20"/>
              <w:ind w:right="80" w:left="80" w:firstLine="0"/>
            </w:pPr>
            <w:r>
              <w:rPr>
                <w:rFonts w:ascii="Calibri" w:hAnsi="Calibri"/>
                <w:b w:val="0"/>
                <w:i w:val="0"/>
                <w:color w:val="222222"/>
                <w:sz w:val="19"/>
              </w:rPr>
              <w:t>- TÍTULO V: Disposições finais</w:t>
            </w:r>
          </w:p>
          <w:p>
            <w:pPr>
              <w:spacing w:after="0" w:before="140"/>
              <w:ind w:right="80" w:left="80" w:firstLine="0"/>
            </w:pPr>
            <w:r>
              <w:rPr>
                <w:rFonts w:ascii="Calibri" w:hAnsi="Calibri"/>
                <w:b w:val="0"/>
                <w:i w:val="0"/>
                <w:color w:val="222222"/>
                <w:sz w:val="19"/>
              </w:rPr>
              <w:t>O ANEXO contém todas as disposições técnicas relativas a bem-estar, espaço disponível, temperatura, frequência de alimentação, e outros parâmetros correspondentes aos Anexos I-V do Regulamento EU 2023/0447.</w:t>
            </w:r>
          </w:p>
          <w:p>
            <w:pPr>
              <w:spacing w:after="0" w:before="140"/>
              <w:ind w:right="80" w:left="80" w:firstLine="0"/>
            </w:pPr>
            <w:r>
              <w:rPr>
                <w:rFonts w:ascii="Calibri" w:hAnsi="Calibri"/>
                <w:b w:val="0"/>
                <w:i w:val="0"/>
                <w:color w:val="222222"/>
                <w:sz w:val="19"/>
              </w:rPr>
              <w:t>NOTA: O mecanismo atual é legislativo padrão (alteração de Decreto-Lei por novo Decreto-Lei). NÃO existe autoridade delegada expressa para alteração por atos de execução, conforme previsto no Art. 22-24 do Regulamento EU 2023/0447.</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23.º e ANEXO II do Código do Animal (DL 214/2013)</w:t>
            </w:r>
          </w:p>
          <w:p>
            <w:pPr>
              <w:spacing w:after="0" w:before="14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1 - O alojamento de cães e gatos deve obedecer às dimensões mínimas indicadas no anexo II ao presente diploma.</w:t>
            </w:r>
          </w:p>
          <w:p>
            <w:pPr>
              <w:spacing w:after="0" w:before="140"/>
              <w:ind w:right="80" w:left="80" w:firstLine="0"/>
            </w:pPr>
            <w:r>
              <w:rPr>
                <w:rFonts w:ascii="Calibri" w:hAnsi="Calibri"/>
                <w:b w:val="0"/>
                <w:i w:val="0"/>
                <w:color w:val="222222"/>
                <w:sz w:val="19"/>
              </w:rPr>
              <w:t>ANEXO II - Parâmetros Técnicos de Alojamento</w:t>
            </w:r>
          </w:p>
          <w:p>
            <w:pPr>
              <w:spacing w:after="0" w:before="20"/>
              <w:ind w:right="80" w:left="80" w:firstLine="0"/>
            </w:pPr>
            <w:r>
              <w:rPr>
                <w:rFonts w:ascii="Calibri" w:hAnsi="Calibri"/>
                <w:b w:val="0"/>
                <w:i w:val="0"/>
                <w:color w:val="222222"/>
                <w:sz w:val="19"/>
              </w:rPr>
              <w:t>Contém requisitos para:</w:t>
            </w:r>
          </w:p>
          <w:p>
            <w:pPr>
              <w:spacing w:after="0" w:before="20"/>
              <w:ind w:right="80" w:left="80" w:firstLine="0"/>
            </w:pPr>
            <w:r>
              <w:rPr>
                <w:rFonts w:ascii="Calibri" w:hAnsi="Calibri"/>
                <w:b w:val="0"/>
                <w:i w:val="0"/>
                <w:color w:val="222222"/>
                <w:sz w:val="19"/>
              </w:rPr>
              <w:t>- Dimensões mínimas de gaiolas e recintos</w:t>
            </w:r>
          </w:p>
          <w:p>
            <w:pPr>
              <w:spacing w:after="0" w:before="20"/>
              <w:ind w:right="80" w:left="80" w:firstLine="0"/>
            </w:pPr>
            <w:r>
              <w:rPr>
                <w:rFonts w:ascii="Calibri" w:hAnsi="Calibri"/>
                <w:b w:val="0"/>
                <w:i w:val="0"/>
                <w:color w:val="222222"/>
                <w:sz w:val="19"/>
              </w:rPr>
              <w:t>- Superfícies de exercício</w:t>
            </w:r>
          </w:p>
          <w:p>
            <w:pPr>
              <w:spacing w:after="0" w:before="20"/>
              <w:ind w:right="80" w:left="80" w:firstLine="0"/>
            </w:pPr>
            <w:r>
              <w:rPr>
                <w:rFonts w:ascii="Calibri" w:hAnsi="Calibri"/>
                <w:b w:val="0"/>
                <w:i w:val="0"/>
                <w:color w:val="222222"/>
                <w:sz w:val="19"/>
              </w:rPr>
              <w:t>- Estruturas para enriquecimento ambiental (gatos: tabuleiros, superfícies de repouso, estruturas para afiar garras)</w:t>
            </w:r>
          </w:p>
          <w:p>
            <w:pPr>
              <w:spacing w:after="0" w:before="20"/>
              <w:ind w:right="80" w:left="80" w:firstLine="0"/>
            </w:pPr>
            <w:r>
              <w:rPr>
                <w:rFonts w:ascii="Calibri" w:hAnsi="Calibri"/>
                <w:b w:val="0"/>
                <w:i w:val="0"/>
                <w:color w:val="222222"/>
                <w:sz w:val="19"/>
              </w:rPr>
              <w:t>- Pavimentos (proibição de grades)</w:t>
            </w:r>
          </w:p>
          <w:p>
            <w:pPr>
              <w:spacing w:after="0" w:before="20"/>
              <w:ind w:right="80" w:left="80" w:firstLine="0"/>
            </w:pPr>
            <w:r>
              <w:rPr>
                <w:rFonts w:ascii="Calibri" w:hAnsi="Calibri"/>
                <w:b w:val="0"/>
                <w:i w:val="0"/>
                <w:color w:val="222222"/>
                <w:sz w:val="19"/>
              </w:rPr>
              <w:t>- Condições de higiene e bem-estar</w:t>
            </w:r>
          </w:p>
          <w:p>
            <w:pPr>
              <w:spacing w:after="0" w:before="140"/>
              <w:ind w:right="80" w:left="80" w:firstLine="0"/>
            </w:pPr>
            <w:r>
              <w:rPr>
                <w:rFonts w:ascii="Calibri" w:hAnsi="Calibri"/>
                <w:b w:val="0"/>
                <w:i w:val="0"/>
                <w:color w:val="222222"/>
                <w:sz w:val="19"/>
              </w:rPr>
              <w:t>Corresponde materialmente aos requisitos de espaço, temperatura e frequência referidos no Art. 22 do Regulamento.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 Referências a Anexos de Regulamentos EU</w:t>
            </w:r>
          </w:p>
          <w:p>
            <w:pPr>
              <w:spacing w:after="0" w:before="140"/>
              <w:ind w:right="80" w:left="80" w:firstLine="0"/>
            </w:pPr>
            <w:r>
              <w:rPr>
                <w:rFonts w:ascii="Calibri" w:hAnsi="Calibri"/>
                <w:b w:val="0"/>
                <w:i w:val="0"/>
                <w:color w:val="222222"/>
                <w:sz w:val="19"/>
              </w:rPr>
              <w:t>DL n.º 82/2019 incorpora por referência os Anexos I dos Regulamentos EU n.º 576/2013 e n.º 2016/429, estabelecendo que os requisitos de identificação de animais de companhia aplicáveis em Portugal são os das espécies referidas nesses anexos.</w:t>
            </w:r>
          </w:p>
          <w:p>
            <w:pPr>
              <w:spacing w:after="0" w:before="140"/>
              <w:ind w:right="80" w:left="80" w:firstLine="0"/>
            </w:pPr>
            <w:r>
              <w:rPr>
                <w:rFonts w:ascii="Calibri" w:hAnsi="Calibri"/>
                <w:b w:val="0"/>
                <w:i w:val="0"/>
                <w:color w:val="222222"/>
                <w:sz w:val="19"/>
              </w:rPr>
              <w:t>NOTA: DL 82/2019 não implementa mecanismo de delegação de autoridade para alteração de anexos como previsto no Art. 22-24 do Regulamento EU 2023/0447.</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Anexos existem; falta delegação de autoridade para alteração dinâmica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Estrutura de anexos com parâmetros técnicos; falta delegação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ANEXO estruturado; falta mecanismo de atos delegados/execução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possui estrutura de anexos contendo parâmetros técnicos equivalentes aos do Regulamento. Falta implementar: Mecanismo de delegação de autoridade à Comissão Europeia para adoção de atos delegados/execução, conforme Arts. 22-24 do Regulamento 2023/0447. Atualmente, qualquer alteração de anexos requer procedimento legislativo nacional (novo Decreto-Lei), não havendo procedimento expedito de atos delegados.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Estrutura de anexos presente mas sem mecanismo de delegação de autoridade para atos delegados/execução conforme Reg. EU.</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