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280" w:after="120"/>
              <w:jc w:val="center"/>
            </w:pPr>
            <w:r>
              <w:rPr>
                <w:rFonts w:ascii="Calibri" w:hAnsi="Calibri"/>
                <w:b/>
                <w:i w:val="0"/>
                <w:color w:val="FFFFFF"/>
                <w:sz w:val="32"/>
              </w:rPr>
              <w:t>Comparativo Artigo a Artigo</w:t>
            </w:r>
          </w:p>
          <w:p>
            <w:pPr>
              <w:spacing w:before="40" w:after="280"/>
              <w:jc w:val="center"/>
            </w:pPr>
            <w:r>
              <w:rPr>
                <w:rFonts w:ascii="Calibri" w:hAnsi="Calibri"/>
                <w:b w:val="0"/>
                <w:i w:val="0"/>
                <w:color w:val="7EC8E3"/>
                <w:sz w:val="22"/>
              </w:rPr>
              <w:t>Regulamento 2023/0447 — Cães e Gatos</w:t>
            </w:r>
          </w:p>
        </w:tc>
      </w:tr>
    </w:tbl>
    <w:p/>
    <w:p>
      <w:pPr>
        <w:spacing w:before="80" w:after="80"/>
      </w:pPr>
      <w:r>
        <w:rPr>
          <w:rFonts w:ascii="Calibri" w:hAnsi="Calibri"/>
          <w:b/>
          <w:i w:val="0"/>
          <w:color w:val="4A4A4A"/>
          <w:sz w:val="18"/>
        </w:rPr>
        <w:t>LEGENDA DO SISTEMA DE CORES</w:t>
      </w:r>
    </w:p>
    <w:tbl>
      <w:tblPr>
        <w:tblLook w:firstColumn="1" w:firstRow="1" w:lastColumn="0" w:lastRow="0" w:noHBand="0" w:noVBand="1" w:val="04A0"/>
        <w:tblW w:w="2500" w:type="pct"/>
      </w:tblPr>
      <w:tblGrid>
        <w:gridCol w:w="7569"/>
        <w:gridCol w:w="7569"/>
      </w:tblGrid>
      <w:tr>
        <w:tc>
          <w:tcPr>
            <w:tcW w:type="dxa" w:w="7569"/>
            <w:shd w:val="clear" w:color="auto" w:fill="D6E4F0"/>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(texto EN)</w:t>
            </w:r>
          </w:p>
        </w:tc>
        <w:tc>
          <w:tcPr>
            <w:tcW w:type="dxa" w:w="7569"/>
            <w:shd w:val="clear" w:color="auto" w:fill="D6E4F0"/>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BF5FB"/>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(tradução PT)</w:t>
            </w:r>
          </w:p>
        </w:tc>
        <w:tc>
          <w:tcPr>
            <w:tcW w:type="dxa" w:w="7569"/>
            <w:shd w:val="clear" w:color="auto" w:fill="EBF5FB"/>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D5E8D4"/>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@rgbeac (proposta jun. 2025)</w:t>
            </w:r>
          </w:p>
        </w:tc>
        <w:tc>
          <w:tcPr>
            <w:tcW w:type="dxa" w:w="7569"/>
            <w:shd w:val="clear" w:color="auto" w:fill="D5E8D4"/>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FE6CC"/>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@codigo (DL n.º 214/2013)</w:t>
            </w:r>
          </w:p>
        </w:tc>
        <w:tc>
          <w:tcPr>
            <w:tcW w:type="dxa" w:w="7569"/>
            <w:shd w:val="clear" w:color="auto" w:fill="FFE6CC"/>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0F7FA"/>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@legislacao (legislação vigente)</w:t>
            </w:r>
          </w:p>
        </w:tc>
        <w:tc>
          <w:tcPr>
            <w:tcW w:type="dxa" w:w="7569"/>
            <w:shd w:val="clear" w:color="auto" w:fill="E0F7FA"/>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AD7F7"/>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Divergência face ao Regulamento</w:t>
            </w:r>
          </w:p>
        </w:tc>
        <w:tc>
          <w:tcPr>
            <w:tcW w:type="dxa" w:w="7569"/>
            <w:shd w:val="clear" w:color="auto" w:fill="EAD7F7"/>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5F5F5"/>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Notas de Reunião</w:t>
            </w:r>
          </w:p>
        </w:tc>
        <w:tc>
          <w:tcPr>
            <w:tcW w:type="dxa" w:w="7569"/>
            <w:shd w:val="clear" w:color="auto" w:fill="F5F5F5"/>
            <w:tcBorders>
              <w:top w:val="single" w:sz="4" w:space="0" w:color="CCCCCC"/>
              <w:left w:val="single" w:sz="4" w:space="0" w:color="CCCCCC"/>
              <w:bottom w:val="single" w:sz="4" w:space="0" w:color="CCCCCC"/>
              <w:right w:val="single" w:sz="4" w:space="0" w:color="CCCCCC"/>
            </w:tcBorders>
          </w:tcPr>
          <w:p/>
        </w:tc>
      </w:tr>
    </w:tbl>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w:t>
            </w:r>
          </w:p>
        </w:tc>
      </w:tr>
    </w:tbl>
    <w:p>
      <w:pPr>
        <w:spacing w:after="80"/>
      </w:pPr>
    </w:p>
    <w:tbl>
      <w:tblPr>
        <w:tblLook w:firstColumn="1" w:firstRow="1" w:lastColumn="0" w:lastRow="0" w:noHBand="0" w:noVBand="1" w:val="04A0"/>
        <w:tblW w:w="5000" w:type="pct"/>
      </w:tblPr>
      <w:tblGrid>
        <w:gridCol w:w="3784"/>
        <w:gridCol w:w="3784"/>
        <w:gridCol w:w="3784"/>
        <w:gridCol w:w="3784"/>
      </w:tblGrid>
      <w:tr>
        <w:tc>
          <w:tcPr>
            <w:tcW w:type="dxa" w:w="3784"/>
            <w:shd w:val="clear" w:color="auto" w:fill="1A3A5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(texto original EN)</w:t>
            </w:r>
          </w:p>
        </w:tc>
        <w:tc>
          <w:tcPr>
            <w:tcW w:type="dxa" w:w="3784"/>
            <w:shd w:val="clear" w:color="auto" w:fill="1E5631"/>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3784"/>
            <w:shd w:val="clear" w:color="auto" w:fill="7E4C0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3784"/>
            <w:shd w:val="clear" w:color="auto" w:fill="006064"/>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3784"/>
            <w:shd w:val="clear" w:color="auto" w:fill="D6E4F0"/>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17.º do Regulamento 2023/0447</w:t>
              <w:br/>
            </w:r>
            <w:r>
              <w:rPr>
                <w:rFonts w:ascii="Calibri" w:hAnsi="Calibri"/>
                <w:b w:val="0"/>
                <w:i w:val="0"/>
                <w:color w:val="222222"/>
                <w:sz w:val="19"/>
              </w:rPr>
              <w:t>All dogs and cats kept in establishments placed on the market or owned by pet owners or by any other natural or legal persons, shall be individually identified by means of a single injectable transponder containing a readable microchip compliant with Annex II.</w:t>
            </w:r>
          </w:p>
          <w:p>
            <w:pPr>
              <w:spacing w:before="120" w:after="0"/>
              <w:ind w:left="80"/>
            </w:pPr>
            <w:r>
              <w:rPr>
                <w:rFonts w:ascii="Calibri" w:hAnsi="Calibri"/>
                <w:b w:val="0"/>
                <w:i w:val="0"/>
                <w:color w:val="222222"/>
                <w:sz w:val="19"/>
              </w:rPr>
              <w:t>1a. Operators shall ensure that dogs and cats born in their establishments are individually identified within 3 months after their birth and in any event before the date of their placing on the market.</w:t>
            </w:r>
          </w:p>
          <w:p>
            <w:pPr>
              <w:spacing w:before="120" w:after="0"/>
              <w:ind w:left="80"/>
            </w:pPr>
            <w:r>
              <w:rPr>
                <w:rFonts w:ascii="Calibri" w:hAnsi="Calibri"/>
                <w:b w:val="0"/>
                <w:i w:val="0"/>
                <w:color w:val="222222"/>
                <w:sz w:val="19"/>
              </w:rPr>
              <w:t>Operators of selling establishments, shelters and those placing and being responsible for dogs and cats in foster homes shall ensure that dogs and cats that enter their establishments or come under their responsibility are individually identified within 30 days after their arrival at the establishment and in any event before the date of their placing on the market.</w:t>
            </w:r>
          </w:p>
          <w:p>
            <w:pPr>
              <w:spacing w:before="120" w:after="0"/>
              <w:ind w:left="80"/>
            </w:pPr>
            <w:r>
              <w:rPr>
                <w:rFonts w:ascii="Calibri" w:hAnsi="Calibri"/>
                <w:b w:val="0"/>
                <w:i w:val="0"/>
                <w:color w:val="222222"/>
                <w:sz w:val="19"/>
              </w:rPr>
              <w:t>Pet owners and any other natural or legal persons, other than operators, who own dogs or cats, shall ensure that the dogs or cats are individually identified at the latest when the dog or cat reaches 3 months of age or, in case the dog or cat is placed on the market, before the date of their placing on the market.</w:t>
            </w:r>
          </w:p>
        </w:tc>
        <w:tc>
          <w:tcPr>
            <w:tcW w:type="dxa" w:w="3784"/>
            <w:shd w:val="clear" w:color="auto" w:fill="D5E8D4"/>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17.º do RGBEAC (proposta, jun. 2025)</w:t>
              <w:br/>
            </w:r>
            <w:r>
              <w:rPr>
                <w:rFonts w:ascii="Calibri" w:hAnsi="Calibri"/>
                <w:b w:val="0"/>
                <w:i w:val="0"/>
                <w:color w:val="222222"/>
                <w:sz w:val="19"/>
              </w:rPr>
              <w:t>1 — A identificação dos animais de companhia, pela sua marcação, quando aplicável, e registo no SIAC, deve ser realizada:</w:t>
            </w:r>
          </w:p>
          <w:p>
            <w:pPr>
              <w:spacing w:before="120" w:after="0"/>
              <w:ind w:left="80"/>
            </w:pPr>
            <w:r>
              <w:rPr>
                <w:rFonts w:ascii="Calibri" w:hAnsi="Calibri"/>
                <w:b w:val="0"/>
                <w:i w:val="0"/>
                <w:color w:val="222222"/>
                <w:sz w:val="19"/>
              </w:rPr>
              <w:t>a) Relativamente aos cães, gatos e furões nascidos em alojamentos, até aos três meses de idade ou, em qualquer caso, antes da sua colocação no mercado;</w:t>
            </w:r>
          </w:p>
          <w:p>
            <w:pPr>
              <w:spacing w:before="120" w:after="0"/>
              <w:ind w:left="80"/>
            </w:pPr>
            <w:r>
              <w:rPr>
                <w:rFonts w:ascii="Calibri" w:hAnsi="Calibri"/>
                <w:b w:val="0"/>
                <w:i w:val="0"/>
                <w:color w:val="222222"/>
                <w:sz w:val="19"/>
              </w:rPr>
              <w:t>b) Relativamente aos cães, gatos e furões que entrem em alojamentos, nos termos dos artigos 12.º a 15.º, até trinta dias após a sua chegada ao alojamento ou, em qualquer caso, antes da data de colocação no mercado;</w:t>
            </w:r>
          </w:p>
          <w:p>
            <w:pPr>
              <w:spacing w:before="120" w:after="0"/>
              <w:ind w:left="80"/>
            </w:pPr>
            <w:r>
              <w:rPr>
                <w:rFonts w:ascii="Calibri" w:hAnsi="Calibri"/>
                <w:b w:val="0"/>
                <w:i w:val="0"/>
                <w:color w:val="222222"/>
                <w:sz w:val="19"/>
              </w:rPr>
              <w:t>c) Relativamente aos cães, gatos e furões detidos por pessoas singulares, exceto nos casos previstos nas alíneas anteriores, até aos três meses de idade ou, no caso de colocação no mercado, antes da data de colocação no mercado.</w:t>
            </w:r>
          </w:p>
        </w:tc>
        <w:tc>
          <w:tcPr>
            <w:tcW w:type="dxa" w:w="3784"/>
            <w:shd w:val="clear" w:color="auto" w:fill="FFE6CC"/>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53.º do Código do Animal (DL n.º 214/2013)</w:t>
              <w:br/>
            </w:r>
            <w:r>
              <w:rPr>
                <w:rFonts w:ascii="Calibri" w:hAnsi="Calibri"/>
                <w:b w:val="0"/>
                <w:i w:val="0"/>
                <w:color w:val="222222"/>
                <w:sz w:val="19"/>
              </w:rPr>
              <w:t>1 — Todos os cães devem ser identificados e registados, entre os três e os seis meses de idade.</w:t>
            </w:r>
          </w:p>
          <w:p>
            <w:pPr>
              <w:spacing w:before="120" w:after="0"/>
              <w:ind w:left="80"/>
            </w:pPr>
            <w:r>
              <w:rPr>
                <w:rFonts w:ascii="Calibri" w:hAnsi="Calibri"/>
                <w:b w:val="0"/>
                <w:i w:val="0"/>
                <w:color w:val="222222"/>
                <w:sz w:val="19"/>
              </w:rPr>
              <w:t>2 — Os gatos em exposição, para fins comerciais ou lucrativos, em estabelecimentos de venda, locais de criação, feiras ou concursos, provas funcionais, publicidade ou fins similares, devem ser identificados e registados entre os três e os seis meses de idade.</w:t>
            </w:r>
          </w:p>
          <w:p>
            <w:pPr>
              <w:spacing w:before="120" w:after="0"/>
              <w:ind w:left="80"/>
            </w:pPr>
            <w:r>
              <w:rPr>
                <w:rFonts w:ascii="Calibri" w:hAnsi="Calibri"/>
                <w:b w:val="0"/>
                <w:i w:val="0"/>
                <w:color w:val="222222"/>
                <w:sz w:val="19"/>
              </w:rPr>
              <w:t>4 — Os cães e gatos são identificados através de método electrónico e registados na base de dados nacional.</w:t>
            </w:r>
          </w:p>
          <w:p>
            <w:pPr>
              <w:spacing w:before="120" w:after="0"/>
              <w:ind w:left="80"/>
            </w:pPr>
            <w:r>
              <w:rPr>
                <w:rFonts w:ascii="Calibri" w:hAnsi="Calibri"/>
                <w:b w:val="0"/>
                <w:i w:val="0"/>
                <w:color w:val="222222"/>
                <w:sz w:val="19"/>
              </w:rPr>
              <w:t>5 — A identificação electrónica é efetuada através da aplicação subcutânea de um microchip no centro da face lateral esquerda do pescoço.</w:t>
            </w:r>
          </w:p>
        </w:tc>
        <w:tc>
          <w:tcPr>
            <w:tcW w:type="dxa" w:w="3784"/>
            <w:shd w:val="clear" w:color="auto" w:fill="E0F7FA"/>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n.ºs 1, 2 e 3 do art.º 5.º do DL n.º 82/2019, de 27 de junho</w:t>
              <w:br/>
            </w:r>
            <w:r>
              <w:rPr>
                <w:rFonts w:ascii="Calibri" w:hAnsi="Calibri"/>
                <w:b w:val="0"/>
                <w:i w:val="0"/>
                <w:color w:val="222222"/>
                <w:sz w:val="19"/>
              </w:rPr>
              <w:t>1 — A identificação dos animais de companhia, pela sua marcação e registo no SIAC, deve ser realizada até 120 dias após o seu nascimento.</w:t>
            </w:r>
          </w:p>
          <w:p>
            <w:pPr>
              <w:spacing w:before="120" w:after="0"/>
              <w:ind w:left="80"/>
            </w:pPr>
            <w:r>
              <w:rPr>
                <w:rFonts w:ascii="Calibri" w:hAnsi="Calibri"/>
                <w:b w:val="0"/>
                <w:i w:val="0"/>
                <w:color w:val="222222"/>
                <w:sz w:val="19"/>
              </w:rPr>
              <w:t>2 — Na impossibilidade de determinar a data de nascimento exata, para efeitos de contagem do prazo referido no número anterior, a identificação deve ser efetuada até à perda dos dentes incisivos de leite.</w:t>
            </w:r>
          </w:p>
          <w:p>
            <w:pPr>
              <w:spacing w:before="120" w:after="0"/>
              <w:ind w:left="80"/>
            </w:pPr>
            <w:r>
              <w:rPr>
                <w:rFonts w:ascii="Calibri" w:hAnsi="Calibri"/>
                <w:b w:val="0"/>
                <w:i w:val="0"/>
                <w:color w:val="222222"/>
                <w:sz w:val="19"/>
              </w:rPr>
              <w:t>3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Tradução do @regulamento (PT-PT)</w:t>
            </w:r>
          </w:p>
        </w:tc>
      </w:tr>
      <w:tr>
        <w:tc>
          <w:tcPr>
            <w:tcW w:type="dxa" w:w="15138"/>
            <w:shd w:val="clear" w:color="auto" w:fill="EBF5FB"/>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val="0"/>
                <w:i/>
                <w:color w:val="222222"/>
                <w:sz w:val="19"/>
              </w:rPr>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 Anexo II.</w:t>
            </w:r>
          </w:p>
          <w:p>
            <w:pPr>
              <w:spacing w:before="120" w:after="0"/>
              <w:ind w:left="80"/>
            </w:pPr>
            <w:r>
              <w:rPr>
                <w:rFonts w:ascii="Calibri" w:hAnsi="Calibri"/>
                <w:b w:val="0"/>
                <w:i/>
                <w:color w:val="222222"/>
                <w:sz w:val="19"/>
              </w:rPr>
              <w:t>1a. Os operadores devem assegurar que os cães e gatos nascidos nos seus estabelecimentos sejam identificados individualmente no prazo de 3 meses após o nascimento e, em qualquer caso, antes da data da sua colocação no mercado.</w:t>
            </w:r>
          </w:p>
          <w:p>
            <w:pPr>
              <w:spacing w:before="120" w:after="0"/>
              <w:ind w:left="80"/>
            </w:pPr>
            <w:r>
              <w:rPr>
                <w:rFonts w:ascii="Calibri" w:hAnsi="Calibri"/>
                <w:b w:val="0"/>
                <w:i/>
                <w:color w:val="222222"/>
                <w:sz w:val="19"/>
              </w:rPr>
              <w:t>Os operadores de estabelecimentos de venda, abrigos e os que colocam e são responsáveis por cães e gatos em famílias de acolhimento devem assegurar que os cães e gatos que entrem nos seus estabelecimentos sejam identificados individualmente no prazo de 30 dias após a chegada.</w:t>
            </w:r>
          </w:p>
          <w:p>
            <w:pPr>
              <w:spacing w:before="120" w:after="0"/>
              <w:ind w:left="80"/>
            </w:pPr>
            <w:r>
              <w:rPr>
                <w:rFonts w:ascii="Calibri" w:hAnsi="Calibri"/>
                <w:b w:val="0"/>
                <w:i/>
                <w:color w:val="222222"/>
                <w:sz w:val="19"/>
              </w:rPr>
              <w:t>Os donos de animais de companhia e quaisquer outras pessoas singulares ou coletivas que detenham cães ou gatos devem assegurar que os animais sejam identificados individualmente o mais tardar quando o animal atingir os 3 meses de 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5D2A8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DIVERGÊNCIA FACE AO REGULAMENTO  ·  Necessidade de alteração: Sim</w:t>
            </w:r>
          </w:p>
        </w:tc>
      </w:tr>
      <w:tr>
        <w:tc>
          <w:tcPr>
            <w:tcW w:type="dxa" w:w="15138"/>
            <w:shd w:val="clear" w:color="auto" w:fill="EAD7F7"/>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val="0"/>
                <w:color w:val="3D1A6E"/>
                <w:sz w:val="19"/>
              </w:rPr>
              <w:t>O @regulamento fixa o prazo de identificação em 3 meses para nascimentos e 30 dias para entrada em estabelecimentos. A @legislacao (DL n.º 82/2019, art.º 5.º) prevê um prazo geral de 120 dias após o nascimento, sem distinguir o contexto de estabelecimento — prazo superior ao fixado pelo @regulamento e que exigirá redução. O @codigo fixa entre 3 e 6 meses, igualmente sem distinção de contexto. O @rgbeac alinha com o @regulamento nos prazos, mas aplica-se apenas a cães, gatos e furões. Nenhum dos diplomas nacionais vigentes distingue o prazo de 30 dias aplicável a animais que entram em estabelecimentos, previsto no @regulamento.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4A4A4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5F5F5"/>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Bem-Estar e Detenção</w:t>
            </w:r>
          </w:p>
        </w:tc>
      </w:tr>
    </w:tbl>
    <w:p>
      <w:pPr>
        <w:spacing w:after="80"/>
      </w:pPr>
    </w:p>
    <w:tbl>
      <w:tblPr>
        <w:tblLook w:firstColumn="1" w:firstRow="1" w:lastColumn="0" w:lastRow="0" w:noHBand="0" w:noVBand="1" w:val="04A0"/>
        <w:tblW w:w="5000" w:type="pct"/>
      </w:tblPr>
      <w:tblGrid>
        <w:gridCol w:w="3784"/>
        <w:gridCol w:w="3784"/>
        <w:gridCol w:w="3784"/>
        <w:gridCol w:w="3784"/>
      </w:tblGrid>
      <w:tr>
        <w:tc>
          <w:tcPr>
            <w:tcW w:type="dxa" w:w="3784"/>
            <w:shd w:val="clear" w:color="auto" w:fill="1A3A5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(texto original EN)</w:t>
            </w:r>
          </w:p>
        </w:tc>
        <w:tc>
          <w:tcPr>
            <w:tcW w:type="dxa" w:w="3784"/>
            <w:shd w:val="clear" w:color="auto" w:fill="1E5631"/>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3784"/>
            <w:shd w:val="clear" w:color="auto" w:fill="7E4C0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3784"/>
            <w:shd w:val="clear" w:color="auto" w:fill="006064"/>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3784"/>
            <w:shd w:val="clear" w:color="auto" w:fill="D6E4F0"/>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6.º do Regulamento 2023/0447</w:t>
              <w:br/>
            </w:r>
            <w:r>
              <w:rPr>
                <w:rFonts w:ascii="Calibri" w:hAnsi="Calibri"/>
                <w:b w:val="0"/>
                <w:i w:val="0"/>
                <w:color w:val="222222"/>
                <w:sz w:val="19"/>
              </w:rPr>
              <w:t>Operators shall be responsible for the welfare of dogs or cats kept in the establishments under their responsibility and under their control and to minimise any risks to their welfare.</w:t>
            </w:r>
          </w:p>
          <w:p>
            <w:pPr>
              <w:spacing w:before="120" w:after="0"/>
              <w:ind w:left="80"/>
            </w:pPr>
            <w:r>
              <w:rPr>
                <w:rFonts w:ascii="Calibri" w:hAnsi="Calibri"/>
                <w:b w:val="0"/>
                <w:i w:val="0"/>
                <w:color w:val="222222"/>
                <w:sz w:val="19"/>
              </w:rPr>
              <w:t>1a. In the case of foster homes, the responsibility shall lie with the operator on whose behalf dogs or cats are kept. Such operators shall not place more than a 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set out by this Regulation are complied with in foster homes.</w:t>
            </w:r>
          </w:p>
        </w:tc>
        <w:tc>
          <w:tcPr>
            <w:tcW w:type="dxa" w:w="3784"/>
            <w:shd w:val="clear" w:color="auto" w:fill="D5E8D4"/>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10.º do RGBEAC (proposta, jun. 2025)</w:t>
              <w:br/>
            </w:r>
            <w:r>
              <w:rPr>
                <w:rFonts w:ascii="Calibri" w:hAnsi="Calibri"/>
                <w:b w:val="0"/>
                <w:i w:val="0"/>
                <w:color w:val="222222"/>
                <w:sz w:val="19"/>
              </w:rPr>
              <w:t>1 — O detentor do animal de companhia deve:</w:t>
            </w:r>
          </w:p>
          <w:p>
            <w:pPr>
              <w:spacing w:before="120" w:after="0"/>
              <w:ind w:left="80"/>
            </w:pPr>
            <w:r>
              <w:rPr>
                <w:rFonts w:ascii="Calibri" w:hAnsi="Calibri"/>
                <w:b w:val="0"/>
                <w:i w:val="0"/>
                <w:color w:val="222222"/>
                <w:sz w:val="19"/>
              </w:rPr>
              <w:t>a) Assegurar o bem-estar do animal, de acordo com a sua espécie, raça, idade e necessidades físicas e etológicas, proporcionando-lhe:</w:t>
              <w:br/>
              <w:t>— Atenção, supervisão, controlo, exercício físico e estímulo mental;</w:t>
              <w:br/>
              <w:t>— Alimentos saudáveis, adequados e convenientes ao seu normal desenvolvimento e acesso permanente a água potável;</w:t>
              <w:br/>
              <w:t>— Condições higiossanitárias que atendam, no mínimo, ao estabelecido no presente decreto-lei e na demais legislação aplicável;</w:t>
              <w:br/>
              <w:t>— Liberdade de movimento, sendo proibidos todos os sistemas de contenção permanentes.</w:t>
            </w:r>
          </w:p>
        </w:tc>
        <w:tc>
          <w:tcPr>
            <w:tcW w:type="dxa" w:w="3784"/>
            <w:shd w:val="clear" w:color="auto" w:fill="FFE6CC"/>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5.º do Código do Animal (DL n.º 214/2013)</w:t>
              <w:br/>
            </w:r>
            <w:r>
              <w:rPr>
                <w:rFonts w:ascii="Calibri" w:hAnsi="Calibri"/>
                <w:b w:val="0"/>
                <w:i w:val="0"/>
                <w:color w:val="222222"/>
                <w:sz w:val="19"/>
              </w:rPr>
              <w:t>1 — As condições de detenção e de alojamento para reprodução, criação, manutenção e acomodação dos animais de companhia devem salvaguardar os cinco domínios do bem-estar animal (Nutrição, Ambiente, Saúde, Comportamento e Psicológico), estabelecidos pela Organização Mundial da Saúde Animal (OMSA).</w:t>
            </w:r>
          </w:p>
          <w:p>
            <w:pPr>
              <w:spacing w:before="120" w:after="0"/>
              <w:ind w:left="80"/>
            </w:pPr>
            <w:r>
              <w:rPr>
                <w:rFonts w:ascii="Calibri" w:hAnsi="Calibri"/>
                <w:b w:val="0"/>
                <w:i w:val="0"/>
                <w:color w:val="222222"/>
                <w:sz w:val="19"/>
              </w:rPr>
              <w:t>2 — Nenhum animal deve ser detido como animal de companhia se não estiverem asseguradas as condições referidas no número anterior ou as demais previstas no presente diploma.</w:t>
            </w:r>
          </w:p>
          <w:p>
            <w:pPr>
              <w:spacing w:before="120" w:after="0"/>
              <w:ind w:left="80"/>
            </w:pPr>
            <w:r>
              <w:rPr>
                <w:rFonts w:ascii="Calibri" w:hAnsi="Calibri"/>
                <w:b w:val="0"/>
                <w:i w:val="0"/>
                <w:color w:val="222222"/>
                <w:sz w:val="19"/>
              </w:rPr>
              <w:t>3 — É proibida a violência contra animais, considerando-se como tal todos os atos que, sem necessidade, infligem a morte, o sofrimento, a dor, a angústia ou ferimentos a um animal.</w:t>
            </w:r>
          </w:p>
        </w:tc>
        <w:tc>
          <w:tcPr>
            <w:tcW w:type="dxa" w:w="3784"/>
            <w:shd w:val="clear" w:color="auto" w:fill="E0F7FA"/>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n.ºs 1, 2 e 3 do art.º 7.º do DL n.º 276/2001, de 17 de outubro</w:t>
              <w:br/>
            </w: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before="120" w:after="0"/>
              <w:ind w:left="8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before="120" w:after="0"/>
              <w:ind w:left="8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Tradução do @regulamento (PT-PT)</w:t>
            </w:r>
          </w:p>
        </w:tc>
      </w:tr>
      <w:tr>
        <w:tc>
          <w:tcPr>
            <w:tcW w:type="dxa" w:w="15138"/>
            <w:shd w:val="clear" w:color="auto" w:fill="EBF5FB"/>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val="0"/>
                <w:i/>
                <w:color w:val="222222"/>
                <w:sz w:val="19"/>
              </w:rPr>
              <w:t>Os operadores são responsáveis pelo bem-estar dos cães ou gatos mantidos nos estabelecimentos sob a sua responsabilidade e controlo e devem minimizar quaisquer riscos para o seu bem-estar.</w:t>
            </w:r>
          </w:p>
          <w:p>
            <w:pPr>
              <w:spacing w:before="120" w:after="0"/>
              <w:ind w:left="80"/>
            </w:pPr>
            <w:r>
              <w:rPr>
                <w:rFonts w:ascii="Calibri" w:hAnsi="Calibri"/>
                <w:b w:val="0"/>
                <w:i/>
                <w:color w:val="222222"/>
                <w:sz w:val="19"/>
              </w:rPr>
              <w:t>1a. No caso de famílias de acolhimento, a responsabilidade recai sobre o operador em nome de quem os cães ou gatos são mantidos. Esses operadores não devem colocar mais do que um total de cinco cães ou gatos ou uma ninhada com ou sem mãe numa família de acolhimento em qualquer momento e devem fornecer à família de acolhimento informação adequada sobre as obrigações de bem-estar animal, bem como as necessidades individuais dos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5D2A8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DIVERGÊNCIA FACE AO REGULAMENTO  ·  Necessidade de alteração: Sim</w:t>
            </w:r>
          </w:p>
        </w:tc>
      </w:tr>
      <w:tr>
        <w:tc>
          <w:tcPr>
            <w:tcW w:type="dxa" w:w="15138"/>
            <w:shd w:val="clear" w:color="auto" w:fill="EAD7F7"/>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val="0"/>
                <w:color w:val="3D1A6E"/>
                <w:sz w:val="19"/>
              </w:rPr>
              <w:t>O @regulamento especifica o limite de 5 animais por família de acolhimento e atribui responsabilidade ao operador (não à família). A @legislacao (DL n.º 276/2001, art.º 7.º) centra a responsabilidade no detentor, sem distinguir o contexto de acolhimento temporário nem fixar limites numéricos — posição idêntica à do @rgbeac e do @codigo. Nenhum dos diplomas nacionais, incluindo a legislação vigente, prevê o conceito de família de acolhimento nem o limite numérico de 5 animais estabelecido pelo @regulamento. A lacuna é transversal a toda a legislação nacional.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4A4A4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5F5F5"/>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Reprodução e Criação</w:t>
            </w:r>
          </w:p>
        </w:tc>
      </w:tr>
    </w:tbl>
    <w:p>
      <w:pPr>
        <w:spacing w:after="80"/>
      </w:pPr>
    </w:p>
    <w:tbl>
      <w:tblPr>
        <w:tblLook w:firstColumn="1" w:firstRow="1" w:lastColumn="0" w:lastRow="0" w:noHBand="0" w:noVBand="1" w:val="04A0"/>
        <w:tblW w:w="5000" w:type="pct"/>
      </w:tblPr>
      <w:tblGrid>
        <w:gridCol w:w="3784"/>
        <w:gridCol w:w="3784"/>
        <w:gridCol w:w="3784"/>
        <w:gridCol w:w="3784"/>
      </w:tblGrid>
      <w:tr>
        <w:tc>
          <w:tcPr>
            <w:tcW w:type="dxa" w:w="3784"/>
            <w:shd w:val="clear" w:color="auto" w:fill="1A3A5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(texto original EN)</w:t>
            </w:r>
          </w:p>
        </w:tc>
        <w:tc>
          <w:tcPr>
            <w:tcW w:type="dxa" w:w="3784"/>
            <w:shd w:val="clear" w:color="auto" w:fill="1E5631"/>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3784"/>
            <w:shd w:val="clear" w:color="auto" w:fill="7E4C0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3784"/>
            <w:shd w:val="clear" w:color="auto" w:fill="006064"/>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3784"/>
            <w:shd w:val="clear" w:color="auto" w:fill="D6E4F0"/>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7.º do Regulamento 2023/0447</w:t>
              <w:br/>
            </w:r>
            <w:r>
              <w:rPr>
                <w:rFonts w:ascii="Calibri" w:hAnsi="Calibri"/>
                <w:b w:val="0"/>
                <w:i w:val="0"/>
                <w:color w:val="222222"/>
                <w:sz w:val="19"/>
              </w:rPr>
              <w:t>Operators shall notify the competent authorities of their activity, providing at least the following information:</w:t>
            </w:r>
          </w:p>
          <w:p>
            <w:pPr>
              <w:spacing w:before="120" w:after="0"/>
              <w:ind w:left="80"/>
            </w:pPr>
            <w:r>
              <w:rPr>
                <w:rFonts w:ascii="Calibri" w:hAnsi="Calibri"/>
                <w:b w:val="0"/>
                <w:i w:val="0"/>
                <w:color w:val="222222"/>
                <w:sz w:val="19"/>
              </w:rPr>
              <w:t>(a) name, address and contact details of the operator;</w:t>
              <w:br/>
              <w:t>(b) the location(s) of the establishment(s);</w:t>
              <w:br/>
              <w:t>(c) the type(s) of establishment: breeding establishment, selling establishment, shelter or foster home;</w:t>
              <w:br/>
              <w:t>(d) the species and, for breeding establishments, the breeds of the dogs or cats kept in the establishment(s);</w:t>
              <w:br/>
              <w:t>(e) the capacity of the establishment expressed as the maximum number of dogs and cats which can be kept in the establishment(s);</w:t>
              <w:br/>
              <w:t>(ea) for breeding establishments, the estimated number of litters to be placed on the market per year.</w:t>
            </w:r>
          </w:p>
        </w:tc>
        <w:tc>
          <w:tcPr>
            <w:tcW w:type="dxa" w:w="3784"/>
            <w:shd w:val="clear" w:color="auto" w:fill="D5E8D4"/>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43.º do RGBEAC (proposta, jun. 2025)</w:t>
              <w:br/>
            </w:r>
            <w:r>
              <w:rPr>
                <w:rFonts w:ascii="Calibri" w:hAnsi="Calibri"/>
                <w:b w:val="0"/>
                <w:i w:val="0"/>
                <w:color w:val="222222"/>
                <w:sz w:val="19"/>
              </w:rPr>
              <w:t>1 — Os centros de bem-estar animal procedem à esterilização dos animais recolhidos que se presuma terem sido abandonados, nos termos do artigo 41.º.</w:t>
            </w:r>
          </w:p>
          <w:p>
            <w:pPr>
              <w:spacing w:before="120" w:after="0"/>
              <w:ind w:left="80"/>
            </w:pPr>
            <w:r>
              <w:rPr>
                <w:rFonts w:ascii="Calibri" w:hAnsi="Calibri"/>
                <w:b w:val="0"/>
                <w:i w:val="0"/>
                <w:color w:val="222222"/>
                <w:sz w:val="19"/>
              </w:rPr>
              <w:t>2 — As câmaras municipais devem, sempre que necessário e sob a responsabilidade do médico veterinário municipal, incentivar e promover programas de esterilização de animais de companhia, nomeadamente os cães e gatos, em complementaridade com os centros de bem-estar animal.</w:t>
            </w:r>
          </w:p>
          <w:p>
            <w:pPr>
              <w:spacing w:before="120" w:after="0"/>
              <w:ind w:left="80"/>
            </w:pPr>
            <w:r>
              <w:rPr>
                <w:rFonts w:ascii="Calibri" w:hAnsi="Calibri"/>
                <w:b w:val="0"/>
                <w:i w:val="0"/>
                <w:color w:val="222222"/>
                <w:sz w:val="19"/>
              </w:rPr>
              <w:t>3 — Os requisitos mínimos das instalações adequadas à realização de esterilizações nos centros de bem-estar animal são estabelecidos em portaria do membro do Governo responsável pela área da agricultura.</w:t>
            </w:r>
          </w:p>
        </w:tc>
        <w:tc>
          <w:tcPr>
            <w:tcW w:type="dxa" w:w="3784"/>
            <w:shd w:val="clear" w:color="auto" w:fill="FFE6CC"/>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Art.º 8.º do Código do Animal (DL n.º 214/2013)</w:t>
              <w:br/>
            </w:r>
            <w:r>
              <w:rPr>
                <w:rFonts w:ascii="Calibri" w:hAnsi="Calibri"/>
                <w:b w:val="0"/>
                <w:i w:val="0"/>
                <w:color w:val="222222"/>
                <w:sz w:val="19"/>
              </w:rPr>
              <w:t>1 — A reprodução de animais deve ser realizada de forma planeada.</w:t>
            </w:r>
          </w:p>
          <w:p>
            <w:pPr>
              <w:spacing w:before="120" w:after="0"/>
              <w:ind w:left="80"/>
            </w:pPr>
            <w:r>
              <w:rPr>
                <w:rFonts w:ascii="Calibri" w:hAnsi="Calibri"/>
                <w:b w:val="0"/>
                <w:i w:val="0"/>
                <w:color w:val="222222"/>
                <w:sz w:val="19"/>
              </w:rPr>
              <w:t>2 — A reprodução de animais obedece ao seguinte:</w:t>
            </w:r>
          </w:p>
          <w:p>
            <w:pPr>
              <w:spacing w:before="120" w:after="0"/>
              <w:ind w:left="80"/>
            </w:pPr>
            <w:r>
              <w:rPr>
                <w:rFonts w:ascii="Calibri" w:hAnsi="Calibri"/>
                <w:b w:val="0"/>
                <w:i w:val="0"/>
                <w:color w:val="222222"/>
                <w:sz w:val="19"/>
              </w:rPr>
              <w:t>a) Os animais só devem ser utilizados na reprodução depois de atingida a maturidade reprodutiva para a espécie e raça devendo, no caso de cães e gatos, as fêmeas ter pelo menos dois anos de idade no momento da primeira cobertura;</w:t>
            </w:r>
          </w:p>
          <w:p>
            <w:pPr>
              <w:spacing w:before="120" w:after="0"/>
              <w:ind w:left="80"/>
            </w:pPr>
            <w:r>
              <w:rPr>
                <w:rFonts w:ascii="Calibri" w:hAnsi="Calibri"/>
                <w:b w:val="0"/>
                <w:i w:val="0"/>
                <w:color w:val="222222"/>
                <w:sz w:val="19"/>
              </w:rPr>
              <w:t>b) Deve ser respeitada a regra do porte semelhante dos progenitores, para prevenir a possibilidade de distócia;</w:t>
            </w:r>
          </w:p>
          <w:p>
            <w:pPr>
              <w:spacing w:before="120" w:after="0"/>
              <w:ind w:left="80"/>
            </w:pPr>
            <w:r>
              <w:rPr>
                <w:rFonts w:ascii="Calibri" w:hAnsi="Calibri"/>
                <w:b w:val="0"/>
                <w:i w:val="0"/>
                <w:color w:val="222222"/>
                <w:sz w:val="19"/>
              </w:rPr>
              <w:t>c) Devem ser excluídos da reprodução os animais que revelem defeitos genéticos e malformações, designadamente monorquidia e displasia.</w:t>
            </w:r>
          </w:p>
        </w:tc>
        <w:tc>
          <w:tcPr>
            <w:tcW w:type="dxa" w:w="3784"/>
            <w:shd w:val="clear" w:color="auto" w:fill="E0F7FA"/>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color w:val="555555"/>
                <w:sz w:val="16"/>
              </w:rPr>
              <w:t>n.º 1 do art.º 3.º-A do DL n.º 276/2001, de 17 de outubro</w:t>
              <w:br/>
            </w:r>
            <w:r>
              <w:rPr>
                <w:rFonts w:ascii="Calibri" w:hAnsi="Calibri"/>
                <w:b w:val="0"/>
                <w:i w:val="0"/>
                <w:color w:val="222222"/>
                <w:sz w:val="19"/>
              </w:rPr>
              <w:t>1 — A mera comunicação prévia a que se refere a alínea a) do n.º 1 do artigo anterior é dirigida à DGAV e deve conter os seguintes elementos, quando aplicáveis:</w:t>
            </w:r>
          </w:p>
          <w:p>
            <w:pPr>
              <w:spacing w:before="120" w:after="0"/>
              <w:ind w:left="80"/>
            </w:pPr>
            <w:r>
              <w:rPr>
                <w:rFonts w:ascii="Calibri" w:hAnsi="Calibri"/>
                <w:b w:val="0"/>
                <w:i w:val="0"/>
                <w:color w:val="222222"/>
                <w:sz w:val="19"/>
              </w:rPr>
              <w:t>a) O nome ou a denominação social do interessado;</w:t>
              <w:br/>
              <w:t>b) A localização do alojamento e a sua designação comercial;</w:t>
              <w:br/>
              <w:t>c) O número de identificação fiscal ou de pessoa coletiva do interessado;</w:t>
              <w:br/>
              <w:t>d) Municípios integrantes, no caso dos centros de recolha intermunicipais;</w:t>
              <w:br/>
              <w:t>e) Caracterização das atividades a exercer;</w:t>
              <w:br/>
              <w:t>f) Indicação do médico veterinário responsável pelo alojamento;</w:t>
              <w:br/>
              <w:t>g) O número de celas de quarentena para isolamento de animais por suspeita de raiva, no caso dos centros de recolha;</w:t>
              <w:br/>
              <w:t>h) A capacidade máxima de animais e respetivas espécies a alojar;</w:t>
              <w:br/>
              <w:t>i) O número de animais detidos, espécies e raças;</w:t>
              <w:br/>
              <w:t>j) Declaração de responsabilidade, subscrita pelo interessado, relativa ao cumprimento da legislação aplicável aos animais de companhia, nomeadamente em matéria de instalações, equipamentos, higiene, saúde e bem-estar dos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Tradução do @regulamento (PT-PT)</w:t>
            </w:r>
          </w:p>
        </w:tc>
      </w:tr>
      <w:tr>
        <w:tc>
          <w:tcPr>
            <w:tcW w:type="dxa" w:w="15138"/>
            <w:shd w:val="clear" w:color="auto" w:fill="EBF5FB"/>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val="0"/>
                <w:i/>
                <w:color w:val="222222"/>
                <w:sz w:val="19"/>
              </w:rPr>
              <w:t>Os operadores devem notificar as autoridades competentes da sua atividade, fornecendo pelo menos as seguintes informações:</w:t>
            </w:r>
          </w:p>
          <w:p>
            <w:pPr>
              <w:spacing w:before="120" w:after="0"/>
              <w:ind w:left="80"/>
            </w:pPr>
            <w:r>
              <w:rPr>
                <w:rFonts w:ascii="Calibri" w:hAnsi="Calibri"/>
                <w:b w:val="0"/>
                <w:i/>
                <w:color w:val="222222"/>
                <w:sz w:val="19"/>
              </w:rPr>
              <w:t>(a) nome, morada e contactos do operador;</w:t>
              <w:br/>
              <w:t>(b) a(s) localização(ões) do(s) estabelecimento(s);</w:t>
              <w:br/>
              <w:t>(c) o tipo de estabelecimento: criação, venda, abrigo ou família de acolhimento;</w:t>
              <w:br/>
              <w:t>(d) as espécies e, para os estabelecimentos de criação, as raças dos cães ou gatos mantidos;</w:t>
              <w:br/>
              <w:t>(e) a capacidade do estabelecimento, expressa no número máximo de cães e gatos que podem ser alojados;</w:t>
              <w:br/>
              <w:t>(ea) para os estabelecimentos de criação, o número estimado de ninhadas a colocar no mercado por ano.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5D2A8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DIVERGÊNCIA FACE AO REGULAMENTO  ·  Necessidade de alteração: Sim</w:t>
            </w:r>
          </w:p>
        </w:tc>
      </w:tr>
      <w:tr>
        <w:tc>
          <w:tcPr>
            <w:tcW w:type="dxa" w:w="15138"/>
            <w:shd w:val="clear" w:color="auto" w:fill="EAD7F7"/>
            <w:tcBorders>
              <w:top w:val="single" w:sz="4" w:space="0" w:color="CCCCCC"/>
              <w:left w:val="single" w:sz="4" w:space="0" w:color="CCCCCC"/>
              <w:bottom w:val="single" w:sz="4" w:space="0" w:color="CCCCCC"/>
              <w:right w:val="single" w:sz="4" w:space="0" w:color="CCCCCC"/>
            </w:tcBorders>
            <w:vAlign w:val="top"/>
          </w:tcPr>
          <w:p>
            <w:pPr>
              <w:spacing w:before="80" w:after="80"/>
              <w:ind w:left="80" w:right="80"/>
            </w:pPr>
            <w:r>
              <w:rPr>
                <w:rFonts w:ascii="Calibri" w:hAnsi="Calibri"/>
                <w:b/>
                <w:i w:val="0"/>
                <w:color w:val="3D1A6E"/>
                <w:sz w:val="19"/>
              </w:rPr>
              <w:t>O @regulamento exige notificação prévia com dados detalhados, incluindo o número estimado de ninhadas a colocar no mercado por ano (al. ea)). A @legislacao (DL n.º 276/2001, art.º 3.º-A) já prevê comunicação prévia à DGAV com elementos parcialmente equivalentes (capacidade máxima, espécies, raças — als. h) e i)), mas não exige a estimativa de ninhadas, constituindo lacuna parcial face ao @regulamento. O @codigo regula condições de reprodução mas não prevê notificação ou registo de estabelecimentos criadores. O @rgbeac trata exclusivamente da esterilização de errantes, sem qualquer norma sobre notificação de criadores. A @legislacao vigente é, dos diplomas nacionais, o mais próximo do @regulamento neste eixo, ainda que com lacuna relevante.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4A4A4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5F5F5"/>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