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estéticos, exposições e competições de cães e gatos, cães ou gatos com características conformacionais excessivas ou cães ou gatos que tenham sido mutilados de forma que resulta numa alteração das características físicas.</w:t>
            </w:r>
          </w:p>
          <w:p>
            <w:pPr>
              <w:spacing w:after="0" w:before="140"/>
              <w:ind w:right="80" w:left="80" w:firstLine="0"/>
            </w:pPr>
            <w:r>
              <w:rPr>
                <w:rFonts w:ascii="Calibri" w:hAnsi="Calibri"/>
                <w:b w:val="0"/>
                <w:i/>
                <w:color w:val="222222"/>
                <w:sz w:val="19"/>
              </w:rPr>
              <w:t>Os organizadores de espetáculos estéticos, exposições e competições de cães e gatos devem excluir de tais espetáculos, exposições e competições cães e gatos que tenham características conformacionais excessivas ou cães ou gatos que tenham sido mutilados de forma que resulta numa alteração das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Espetáculos e Competições Estéticas)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information:</w:t>
            </w:r>
          </w:p>
          <w:p>
            <w:pPr>
              <w:spacing w:after="0" w:before="20"/>
              <w:ind w:right="80" w:left="360" w:hanging="280"/>
            </w:pPr>
            <w:r>
              <w:rPr>
                <w:rFonts w:ascii="Calibri" w:hAnsi="Calibri"/>
                <w:b w:val="0"/>
                <w:i w:val="0"/>
                <w:color w:val="222222"/>
                <w:sz w:val="19"/>
              </w:rPr>
              <w:t>a) the identification number of the dog or cat as referred to in Article 17(1);</w:t>
            </w:r>
          </w:p>
          <w:p>
            <w:pPr>
              <w:spacing w:after="0" w:before="20"/>
              <w:ind w:right="80" w:left="360" w:hanging="280"/>
            </w:pPr>
            <w:r>
              <w:rPr>
                <w:rFonts w:ascii="Calibri" w:hAnsi="Calibri"/>
                <w:b w:val="0"/>
                <w:i w:val="0"/>
                <w:color w:val="222222"/>
                <w:sz w:val="19"/>
              </w:rPr>
              <w:t>b) the name, address and contact details of the operator.</w:t>
            </w:r>
          </w:p>
          <w:p>
            <w:pPr>
              <w:spacing w:after="0" w:before="140"/>
              <w:ind w:right="80" w:left="80" w:firstLine="0"/>
            </w:pPr>
            <w:r>
              <w:rPr>
                <w:rFonts w:ascii="Calibri" w:hAnsi="Calibri"/>
                <w:b w:val="0"/>
                <w:i w:val="0"/>
                <w:color w:val="222222"/>
                <w:sz w:val="19"/>
              </w:rPr>
              <w:t>2. Without prejudice to Union law on animal welfare, Member States may adopt or maintain rules concerning the keeping, breeding or sale of dogs or cats, as well as rules restricting or prohibiting the online placing on the market of dogs or cats, in particular with a view to preventing trade by operators not registered in the Member State.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Quando os operadores anunciam em linha um cão ou gato com vista à sua colocação no mercado da União, devem assegurar a apresentação das seguintes informações:</w:t>
            </w:r>
          </w:p>
          <w:p>
            <w:pPr>
              <w:spacing w:after="0" w:before="20"/>
              <w:ind w:right="80" w:left="360" w:hanging="280"/>
            </w:pPr>
            <w:r>
              <w:rPr>
                <w:rFonts w:ascii="Calibri" w:hAnsi="Calibri"/>
                <w:b w:val="0"/>
                <w:i/>
                <w:color w:val="222222"/>
                <w:sz w:val="19"/>
              </w:rPr>
              <w:t>a) o número de identificação do cão ou gato referido no Artigo 17(1);</w:t>
            </w:r>
          </w:p>
          <w:p>
            <w:pPr>
              <w:spacing w:after="0" w:before="20"/>
              <w:ind w:right="80" w:left="360" w:hanging="280"/>
            </w:pPr>
            <w:r>
              <w:rPr>
                <w:rFonts w:ascii="Calibri" w:hAnsi="Calibri"/>
                <w:b w:val="0"/>
                <w:i/>
                <w:color w:val="222222"/>
                <w:sz w:val="19"/>
              </w:rPr>
              <w:t>b) o nome, endereço e detalhes de contacto do operador.</w:t>
            </w:r>
          </w:p>
          <w:p>
            <w:pPr>
              <w:spacing w:after="0" w:before="140"/>
              <w:ind w:right="80" w:left="80" w:firstLine="0"/>
            </w:pPr>
            <w:r>
              <w:rPr>
                <w:rFonts w:ascii="Calibri" w:hAnsi="Calibri"/>
                <w:b w:val="0"/>
                <w:i/>
                <w:color w:val="222222"/>
                <w:sz w:val="19"/>
              </w:rPr>
              <w:t>2 — Sem prejuízo do direito da União em matéria de bem-estar animal, os Estados-Membros podem adotar ou manter regras relativas à manutenção, criação ou venda de cães ou gatos, bem como regras que restringem ou proíbem a colocação em linha no mercado de cães ou gatos, em particular com vista à prevenção do comércio por operadores não registados no Estado-Membro.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Requisitos de Publicidade em Linha e Colocação no Mercado)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18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Article 9 the competent authorities shall be responsible for:</w:t>
            </w:r>
          </w:p>
          <w:p>
            <w:pPr>
              <w:spacing w:after="0" w:before="20"/>
              <w:ind w:right="80" w:left="360" w:hanging="280"/>
            </w:pPr>
            <w:r>
              <w:rPr>
                <w:rFonts w:ascii="Calibri" w:hAnsi="Calibri"/>
                <w:b w:val="0"/>
                <w:i w:val="0"/>
                <w:color w:val="222222"/>
                <w:sz w:val="19"/>
              </w:rPr>
              <w:t>a) ensuring that training courses are available for animal caretakers;</w:t>
            </w:r>
          </w:p>
          <w:p>
            <w:pPr>
              <w:spacing w:after="0" w:before="20"/>
              <w:ind w:right="80" w:left="360" w:hanging="280"/>
            </w:pPr>
            <w:r>
              <w:rPr>
                <w:rFonts w:ascii="Calibri" w:hAnsi="Calibri"/>
                <w:b w:val="0"/>
                <w:i w:val="0"/>
                <w:color w:val="222222"/>
                <w:sz w:val="19"/>
              </w:rPr>
              <w:t>b) approving the content of the training courses;</w:t>
            </w:r>
          </w:p>
          <w:p>
            <w:pPr>
              <w:spacing w:after="0" w:before="20"/>
              <w:ind w:right="80" w:left="360" w:hanging="280"/>
            </w:pPr>
            <w:r>
              <w:rPr>
                <w:rFonts w:ascii="Calibri" w:hAnsi="Calibri"/>
                <w:b w:val="0"/>
                <w:i w:val="0"/>
                <w:color w:val="222222"/>
                <w:sz w:val="19"/>
              </w:rPr>
              <w:t>c) issuing certificates of competence to animal caretakers.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Artigo 9 as autoridades competentes devem ser responsáveis por:</w:t>
            </w:r>
          </w:p>
          <w:p>
            <w:pPr>
              <w:spacing w:after="0" w:before="20"/>
              <w:ind w:right="80" w:left="360" w:hanging="280"/>
            </w:pPr>
            <w:r>
              <w:rPr>
                <w:rFonts w:ascii="Calibri" w:hAnsi="Calibri"/>
                <w:b w:val="0"/>
                <w:i/>
                <w:color w:val="222222"/>
                <w:sz w:val="19"/>
              </w:rPr>
              <w:t>a) assegurar que cursos de formação estão disponíveis para os cuidadores de animais;</w:t>
            </w:r>
          </w:p>
          <w:p>
            <w:pPr>
              <w:spacing w:after="0" w:before="20"/>
              <w:ind w:right="80" w:left="360" w:hanging="280"/>
            </w:pPr>
            <w:r>
              <w:rPr>
                <w:rFonts w:ascii="Calibri" w:hAnsi="Calibri"/>
                <w:b w:val="0"/>
                <w:i/>
                <w:color w:val="222222"/>
                <w:sz w:val="19"/>
              </w:rPr>
              <w:t>b) aprovar o conteúdo dos cursos de formação;</w:t>
            </w:r>
          </w:p>
          <w:p>
            <w:pPr>
              <w:spacing w:after="0" w:before="20"/>
              <w:ind w:right="80" w:left="360" w:hanging="280"/>
            </w:pPr>
            <w:r>
              <w:rPr>
                <w:rFonts w:ascii="Calibri" w:hAnsi="Calibri"/>
                <w:b w:val="0"/>
                <w:i/>
                <w:color w:val="222222"/>
                <w:sz w:val="19"/>
              </w:rPr>
              <w:t>c) emitir certificados de competência aos cuidadores de animais.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Treino de Cuidadores de Animais)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Bases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19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Estados-Membros são responsáveis pelo estabelecimento e manutenção de bases de dados para o registo de cães e gatos identificados, em conformidade com o Artigo 17(1) e (2) e Artigo 21(4) e o segundo parágrafo do Artigo 21(4a).</w:t>
            </w:r>
          </w:p>
          <w:p>
            <w:pPr>
              <w:spacing w:after="0" w:before="140"/>
              <w:ind w:right="80" w:left="80" w:firstLine="0"/>
            </w:pPr>
            <w:r>
              <w:rPr>
                <w:rFonts w:ascii="Calibri" w:hAnsi="Calibri"/>
                <w:b w:val="0"/>
                <w:i/>
                <w:color w:val="222222"/>
                <w:sz w:val="19"/>
              </w:rPr>
              <w:t>1a — Para esse efeito, os Estados-Membros podem utilizar bases de dados mantidas por outro Estado-Membro, com base em arranjos apropriados.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Bases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Bases de Dados de Cães e Gatos)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every three years a report on the level of compliance and on the number and type of infringements detected.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As autoridades competentes recolhem, analisam e publicam os dados enumerados no Anexo III.</w:t>
            </w:r>
          </w:p>
          <w:p>
            <w:pPr>
              <w:spacing w:after="0" w:before="140"/>
              <w:ind w:right="80" w:left="80" w:firstLine="0"/>
            </w:pPr>
            <w:r>
              <w:rPr>
                <w:rFonts w:ascii="Calibri" w:hAnsi="Calibri"/>
                <w:b w:val="0"/>
                <w:i/>
                <w:color w:val="222222"/>
                <w:sz w:val="19"/>
              </w:rPr>
              <w:t>2 — As autoridades competentes elaboram e transmitem à Comissão a cada três anos um relatório sobre o nível de conformidade e sobre o número e tipo de infrações detetadas.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Recolha de Dados sobre Bem-Estar Animal e Relatório)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controladores no sentido do Regulamento (UE) 2016/679 em relação ao tratamento de dados pessoais recolhidos nos termos do Artigo 7, Artigo 7a do presente Regulamento bem como no âmbito do Artigo 19(1) do presente Regulamento quando utilizados para efeitos de controlo oficial.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Proteção de Dados)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require that dogs and cats intended to be placed on their market shall:</w:t>
            </w:r>
          </w:p>
          <w:p>
            <w:pPr>
              <w:spacing w:after="0" w:before="20"/>
              <w:ind w:right="80" w:left="360" w:hanging="280"/>
            </w:pPr>
            <w:r>
              <w:rPr>
                <w:rFonts w:ascii="Calibri" w:hAnsi="Calibri"/>
                <w:b w:val="0"/>
                <w:i w:val="0"/>
                <w:color w:val="222222"/>
                <w:sz w:val="19"/>
              </w:rPr>
              <w:t>a) be identified and registered as referred to in Article 17;</w:t>
            </w:r>
          </w:p>
          <w:p>
            <w:pPr>
              <w:spacing w:after="0" w:before="20"/>
              <w:ind w:right="80" w:left="360" w:hanging="280"/>
            </w:pPr>
            <w:r>
              <w:rPr>
                <w:rFonts w:ascii="Calibri" w:hAnsi="Calibri"/>
                <w:b w:val="0"/>
                <w:i w:val="0"/>
                <w:color w:val="222222"/>
                <w:sz w:val="19"/>
              </w:rPr>
              <w:t>b) be accompanied by a health certificate issued by a veterinarian of the exporting country;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devem exigir que cães e gatos com vista à sua colocação no mercado devem:</w:t>
            </w:r>
          </w:p>
          <w:p>
            <w:pPr>
              <w:spacing w:after="0" w:before="20"/>
              <w:ind w:right="80" w:left="360" w:hanging="280"/>
            </w:pPr>
            <w:r>
              <w:rPr>
                <w:rFonts w:ascii="Calibri" w:hAnsi="Calibri"/>
                <w:b w:val="0"/>
                <w:i/>
                <w:color w:val="222222"/>
                <w:sz w:val="19"/>
              </w:rPr>
              <w:t>a) ser identificados e registados conforme referido no Artigo 17;</w:t>
            </w:r>
          </w:p>
          <w:p>
            <w:pPr>
              <w:spacing w:after="0" w:before="20"/>
              <w:ind w:right="80" w:left="360" w:hanging="280"/>
            </w:pPr>
            <w:r>
              <w:rPr>
                <w:rFonts w:ascii="Calibri" w:hAnsi="Calibri"/>
                <w:b w:val="0"/>
                <w:i/>
                <w:color w:val="222222"/>
                <w:sz w:val="19"/>
              </w:rPr>
              <w:t>b) ser acompanhados por um certificado de saúde emitido por um médico veterinário do país exportador;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Entrada de Cães e Gatos na 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23 amending the Annexes to this Regulation to take into account of scientific and technical progress, including, when relevant, scientific opinions of the European Food Safety Authority.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é habilitada a adotar atos delegados em conformidade com o Artigo 23 alterando os Anexos ao presente Regulamento para tomar em conta o progresso científico e técnico, incluindo, quando relevante, as opiniões científicas da Autoridade Europeia para a Segurança dos Alimentos.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avaliar</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verificar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Artigo novo do Regulamento 2023/0447 - 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(tema: Alteração dos Anexos)</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