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 não específico nesta matéria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implementa integralmente)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(linguagem modernizada)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Portaria complementar com especificações técnicas</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Não específico para condições técnicas de alojamento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3, 14, 18, 28)</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EXPANDIDA (especifica detalhes técnicos)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Regulamentação específica sobre métodos de treino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Legislação vigente oferece cobertura genérica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Genérico, sem especificações sobre socialização e enriquecimento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SIGNIFICATIVAMENTE EXPANDIDA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DL 276/2001 cobre amputações documentadas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51-52)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 EXPANSÃO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(autorização, identificação, vacinação, supervisão veterinária)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(concursos e exposições com requisitos específicos)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(participação em eventos com normas de bem-estar)</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 (species, sex, date and country of birth,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Sistema de verificação online com token único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Proíbe venda online mas sem sistema de verificação online específico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restrições comerciais mas não implementa sistema de token de verificação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Proibição clara de publicidade e venda online, com requisitos de local licenciado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(certificação profissional, provas teóricas e práticas, métodos positivos)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(profissionalismo, qualificações obrigatórias)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118-120 implementam sistema profissional com certificação)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SIAC em funcionamento desde 2019 cumpre todos os requisitos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Código do Animal estabelece estrutura completa com classificações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RGBEAC (Art. 20.º) reafirma e fortalece o sistema SIAC</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Ajuste de periodicidade e conformidade com Annex III EU</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(relatórios anuais, recolha de dados, consolidação nacional)</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(monitorização, infrações, sanções, estatísticas)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estabelece sistema de relatórios nacionais)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