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01D9" w14:textId="368170C5" w:rsidR="00B907AB" w:rsidRPr="00661C68" w:rsidRDefault="00661C68" w:rsidP="003D23AA">
      <w:pPr>
        <w:rPr>
          <w:lang w:val="en-GB"/>
        </w:rPr>
      </w:pPr>
      <w:r w:rsidRPr="00661C68">
        <w:rPr>
          <w:lang w:val="en-GB"/>
        </w:rPr>
        <w:t>MSD Animal Health</w:t>
      </w:r>
    </w:p>
    <w:p w14:paraId="684FCBC4" w14:textId="4109C3C9" w:rsidR="0003752E" w:rsidRPr="005C51B7" w:rsidRDefault="00661C68" w:rsidP="00661C68">
      <w:pPr>
        <w:rPr>
          <w:lang w:val="en"/>
        </w:rPr>
      </w:pPr>
      <w:r w:rsidRPr="00661C68">
        <w:rPr>
          <w:lang w:val="en-GB"/>
        </w:rPr>
        <w:t xml:space="preserve">As a One Health company, MSD Animal Health is committed to animal welfare and efficient farming. In addition to our vaccines and medicines portfolio, we are the leading the </w:t>
      </w:r>
      <w:proofErr w:type="spellStart"/>
      <w:r w:rsidRPr="00661C68">
        <w:rPr>
          <w:lang w:val="en-GB"/>
        </w:rPr>
        <w:t>agritech</w:t>
      </w:r>
      <w:proofErr w:type="spellEnd"/>
      <w:r w:rsidRPr="00661C68">
        <w:rPr>
          <w:lang w:val="en-GB"/>
        </w:rPr>
        <w:t xml:space="preserve"> company in the market, specialised in the developments of tools and technologies that allow for the electronic identification, monitoring and traceability of animals (livestock, fish, pets). The publication of the proposal on the welfare of dogs and cats and their traceability constitutes an important step towards more harmonised rules on identification and registration of EU companion animals. Building on Regulation (EU) 576/2013, the text upgrades existing rules requiring for the mandatory identification of all dogs and cats as well interoperability between different national registration databases, two of MSDs priorities on the topic. Indeed, mandatory identification and registration are essential when it comes to: Traceability Responsible ownership including reuniting lost pets with their owners Combating illegal or criminal activities such as illegal pet trade Combating zoonotic disease outbreaks Avoiding public health hazards Managing stray cat and dog populations When compared to the existing regulatory framework for livestock based on tracking and official controls current rules for companion animals are far less developed. However, despite the significant steps made with the proposal, we strongly believe the EU could benefit from full traceability for dogs and cats if, in addition to the above-mentioned points, the following measure is pursued: the ultimate link of the EU passport with the identification microchips, within the registration database. Together with the obligation to register pets in national databases, the proposal could be improved via legal obligations for databases to collect reliable data covering all stakeholders involved in the </w:t>
      </w:r>
      <w:proofErr w:type="gramStart"/>
      <w:r w:rsidRPr="00661C68">
        <w:rPr>
          <w:lang w:val="en-GB"/>
        </w:rPr>
        <w:t>pets</w:t>
      </w:r>
      <w:proofErr w:type="gramEnd"/>
      <w:r w:rsidRPr="00661C68">
        <w:rPr>
          <w:lang w:val="en-GB"/>
        </w:rPr>
        <w:t xml:space="preserve"> life: from the breeder over seller, transporter, the microchipper and registering qualified professional (e.g. veterinarian), to all consecutive owners of the pet. This holistic approach to traceability would enable enforcement agencies to quickly identify the origin of every pet, its health and vaccinal status, track the whereabouts of any stakeholder involved with the animal, or flag up incomplete records such as lack of vaccination. Finally, in the short- to medium-term, we believe it would be advantageous to fully link the EU passport with the identification microchips, within the registration database. It would allow integrating the different aspects related to physical and health tracking in one place on the animal: in the database</w:t>
      </w:r>
    </w:p>
    <w:sectPr w:rsidR="0003752E" w:rsidRPr="005C51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375023"/>
    <w:rsid w:val="003A2079"/>
    <w:rsid w:val="003D23AA"/>
    <w:rsid w:val="005C51B7"/>
    <w:rsid w:val="006100CB"/>
    <w:rsid w:val="00661C68"/>
    <w:rsid w:val="007344E4"/>
    <w:rsid w:val="009F6EFA"/>
    <w:rsid w:val="00A01115"/>
    <w:rsid w:val="00A94EF0"/>
    <w:rsid w:val="00A97950"/>
    <w:rsid w:val="00B907AB"/>
    <w:rsid w:val="00BC591D"/>
    <w:rsid w:val="00C363F7"/>
    <w:rsid w:val="00E07DE4"/>
    <w:rsid w:val="00E410D1"/>
    <w:rsid w:val="00F213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412</Words>
  <Characters>2227</Characters>
  <Application>Microsoft Office Word</Application>
  <DocSecurity>0</DocSecurity>
  <Lines>18</Lines>
  <Paragraphs>5</Paragraphs>
  <ScaleCrop>false</ScaleCrop>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2026-03-16T15:44:00Z</dcterms:created>
  <dcterms:modified xsi:type="dcterms:W3CDTF">2026-03-16T15:44:00Z</dcterms:modified>
</cp:coreProperties>
</file>