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246D" w14:textId="00B04D41" w:rsidR="00A20703" w:rsidRDefault="00002A59" w:rsidP="00661C68">
      <w:pPr>
        <w:rPr>
          <w:lang w:val="en-GB"/>
        </w:rPr>
      </w:pPr>
      <w:r w:rsidRPr="00002A59">
        <w:rPr>
          <w:lang w:val="en-GB"/>
        </w:rPr>
        <w:t>Manteca XAVIER</w:t>
      </w:r>
    </w:p>
    <w:p w14:paraId="684FCBC4" w14:textId="30E9D5A0" w:rsidR="0003752E" w:rsidRPr="00002A59" w:rsidRDefault="00002A59" w:rsidP="00002A59">
      <w:pPr>
        <w:rPr>
          <w:lang w:val="en-GB"/>
        </w:rPr>
      </w:pPr>
      <w:r w:rsidRPr="00002A59">
        <w:rPr>
          <w:lang w:val="en-GB"/>
        </w:rPr>
        <w:t xml:space="preserve">I fully support the European Commission initiative to launch a new regulation on the welfare of dogs and cats and would like to draw its attention to the issue of surgical castration. There is no doubt that uncontrolled breeding of companion animals is a major animal welfare issue, as it often leads to relinquishment of dogs and cats. With the main aim of addressing this issue, several Member States have enforced legislation that includes the compulsory surgical castration of dogs and cats in some circumstances, such as their adoption from shelters. However, much evidence has been published over the last years on the negative effects of surgical castration on the health and behaviour of companion animals, these effects being particularly pronounced when castration is performed at an early age. Examples of the negative effects of surgical castration include -but are not limited to- an increase in the risk of several </w:t>
      </w:r>
      <w:proofErr w:type="spellStart"/>
      <w:r w:rsidRPr="00002A59">
        <w:rPr>
          <w:lang w:val="en-GB"/>
        </w:rPr>
        <w:t>tumors</w:t>
      </w:r>
      <w:proofErr w:type="spellEnd"/>
      <w:r w:rsidRPr="00002A59">
        <w:rPr>
          <w:lang w:val="en-GB"/>
        </w:rPr>
        <w:t xml:space="preserve"> and articular problems as well as increase in behavioural problems related to fear. In view of this evidence, I would suggest that the Commission recommends that Member States (1) move away from compulsory surgical castration, (2) allow </w:t>
      </w:r>
      <w:proofErr w:type="spellStart"/>
      <w:r w:rsidRPr="00002A59">
        <w:rPr>
          <w:lang w:val="en-GB"/>
        </w:rPr>
        <w:t>veterinarias</w:t>
      </w:r>
      <w:proofErr w:type="spellEnd"/>
      <w:r w:rsidRPr="00002A59">
        <w:rPr>
          <w:lang w:val="en-GB"/>
        </w:rPr>
        <w:t xml:space="preserve"> to decide the convenience of surgically castrating dogs and cats on an individual basis and (3) fully explore the potential of alternatives to surgical castration. Respectfully, Xavier Manteca, Professor in Animal Behaviour and Animal Welfare, School of Veterinary Science, Barcelona (Spain)</w:t>
      </w:r>
    </w:p>
    <w:sectPr w:rsidR="0003752E" w:rsidRPr="00002A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02A59"/>
    <w:rsid w:val="0003752E"/>
    <w:rsid w:val="00276B53"/>
    <w:rsid w:val="00375023"/>
    <w:rsid w:val="003A2079"/>
    <w:rsid w:val="003D23AA"/>
    <w:rsid w:val="005C51B7"/>
    <w:rsid w:val="006100CB"/>
    <w:rsid w:val="00661C68"/>
    <w:rsid w:val="007344E4"/>
    <w:rsid w:val="009F6EFA"/>
    <w:rsid w:val="00A01115"/>
    <w:rsid w:val="00A20703"/>
    <w:rsid w:val="00A94EF0"/>
    <w:rsid w:val="00A97950"/>
    <w:rsid w:val="00B907AB"/>
    <w:rsid w:val="00BC591D"/>
    <w:rsid w:val="00C363F7"/>
    <w:rsid w:val="00E07DE4"/>
    <w:rsid w:val="00E410D1"/>
    <w:rsid w:val="00F213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1260</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2026-03-16T15:45:00Z</dcterms:created>
  <dcterms:modified xsi:type="dcterms:W3CDTF">2026-03-16T15:45:00Z</dcterms:modified>
</cp:coreProperties>
</file>