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sz w:val="32"/>
        </w:rPr>
        <w:t>Legislação Portuguesa Vigente sobre Animais de Companhia</w:t>
      </w:r>
    </w:p>
    <w:p>
      <w:pPr>
        <w:jc w:val="center"/>
      </w:pPr>
      <w:r>
        <w:rPr>
          <w:i/>
          <w:color w:val="505050"/>
          <w:sz w:val="22"/>
        </w:rPr>
        <w:t>Inventário de diplomas relevantes para avaliação do impacto do Regulamento Europeu 2023/0447 na ordem jurídica nacional</w:t>
      </w:r>
    </w:p>
    <w:p/>
    <w:p>
      <w:pPr>
        <w:spacing w:after="240"/>
      </w:pPr>
      <w:r>
        <w:rPr>
          <w:sz w:val="22"/>
        </w:rPr>
        <w:t>O mapeamento abaixo evidencia a extensão e a sobreposição do acervo normativo nacional que deverá ser ponderado aquando da implementação do Regulamento Europeu 2023/0447. A pluralidade de diplomas — muitos com remissões cruzadas entre si e com regimes transitórios específicos — justifica que o processo de harmonização seja necessariamente longo e complexo.</w:t>
      </w:r>
    </w:p>
    <w:p>
      <w:pPr>
        <w:spacing w:before="280" w:after="80"/>
      </w:pPr>
      <w:r>
        <w:rPr>
          <w:rFonts w:ascii="Calibri" w:hAnsi="Calibri"/>
          <w:b/>
          <w:color w:val="003366"/>
          <w:sz w:val="26"/>
        </w:rPr>
        <w:t>LEGISLAÇÃO DIRETAMENTE RELACIONADA</w:t>
      </w:r>
    </w:p>
    <w:p>
      <w:r>
        <w:rPr>
          <w:b/>
          <w:color w:val="005096"/>
          <w:sz w:val="22"/>
        </w:rPr>
        <w:t>Proteção e bem-estar animal — regime geral</w:t>
      </w:r>
    </w:p>
    <w:p>
      <w:pPr>
        <w:spacing w:before="160" w:after="20"/>
      </w:pPr>
      <w:r>
        <w:rPr>
          <w:rFonts w:ascii="Calibri" w:hAnsi="Calibri"/>
          <w:b/>
          <w:color w:val="003366"/>
          <w:sz w:val="22"/>
        </w:rPr>
        <w:t>Lei n.º 92/95, de 12 de setembro</w:t>
      </w:r>
    </w:p>
    <w:p>
      <w:pPr>
        <w:spacing w:before="0" w:after="20"/>
        <w:ind w:left="340"/>
      </w:pPr>
      <w:r>
        <w:rPr>
          <w:rFonts w:ascii="Calibri" w:hAnsi="Calibri"/>
          <w:b/>
          <w:color w:val="505050"/>
          <w:sz w:val="20"/>
        </w:rPr>
        <w:t xml:space="preserve">Ementa: </w:t>
      </w:r>
      <w:r>
        <w:rPr>
          <w:rFonts w:ascii="Calibri" w:hAnsi="Calibri"/>
          <w:color w:val="505050"/>
          <w:sz w:val="20"/>
        </w:rPr>
        <w:t>Proteção aos animais.</w:t>
      </w:r>
    </w:p>
    <w:p>
      <w:pPr>
        <w:spacing w:before="0" w:after="40"/>
        <w:ind w:left="340"/>
      </w:pPr>
      <w:r>
        <w:rPr>
          <w:rFonts w:ascii="Calibri" w:hAnsi="Calibri"/>
          <w:b/>
          <w:i/>
          <w:sz w:val="20"/>
        </w:rPr>
        <w:t xml:space="preserve">Relevância: </w:t>
      </w:r>
      <w:r>
        <w:rPr>
          <w:rFonts w:ascii="Calibri" w:hAnsi="Calibri"/>
          <w:i/>
          <w:sz w:val="20"/>
        </w:rPr>
        <w:t>Diploma fundador da proteção animal em Portugal. Estabelece princípios gerais que o Regulamento pressupõe como base mínima e que qualquer proposta de implementação deve respeitar.</w:t>
      </w:r>
    </w:p>
    <w:p>
      <w:pPr>
        <w:spacing w:before="160" w:after="20"/>
      </w:pPr>
      <w:r>
        <w:rPr>
          <w:rFonts w:ascii="Calibri" w:hAnsi="Calibri"/>
          <w:b/>
          <w:color w:val="003366"/>
          <w:sz w:val="22"/>
        </w:rPr>
        <w:t>Decreto-Lei n.º 276/2001, de 17 de outubro</w:t>
      </w:r>
    </w:p>
    <w:p>
      <w:pPr>
        <w:spacing w:before="0" w:after="20"/>
        <w:ind w:left="340"/>
      </w:pPr>
      <w:r>
        <w:rPr>
          <w:rFonts w:ascii="Calibri" w:hAnsi="Calibri"/>
          <w:b/>
          <w:color w:val="505050"/>
          <w:sz w:val="20"/>
        </w:rPr>
        <w:t xml:space="preserve">Ementa: </w:t>
      </w:r>
      <w:r>
        <w:rPr>
          <w:rFonts w:ascii="Calibri" w:hAnsi="Calibri"/>
          <w:color w:val="505050"/>
          <w:sz w:val="20"/>
        </w:rPr>
        <w:t>Estabelece as normas legais tendentes a pôr em aplicação em Portugal a Convenção Europeia para a Proteção dos Animais de Companhia e um regime especial para a detenção de animais potencialmente perigosos.</w:t>
      </w:r>
    </w:p>
    <w:p>
      <w:pPr>
        <w:spacing w:before="0" w:after="40"/>
        <w:ind w:left="340"/>
      </w:pPr>
      <w:r>
        <w:rPr>
          <w:rFonts w:ascii="Calibri" w:hAnsi="Calibri"/>
          <w:b/>
          <w:i/>
          <w:sz w:val="20"/>
        </w:rPr>
        <w:t xml:space="preserve">Relevância: </w:t>
      </w:r>
      <w:r>
        <w:rPr>
          <w:rFonts w:ascii="Calibri" w:hAnsi="Calibri"/>
          <w:i/>
          <w:sz w:val="20"/>
        </w:rPr>
        <w:t>Diploma central do regime nacional de proteção de animais de companhia. Regula deveres dos detentores, reprodução, comércio e detenção — áreas cobertas em extenso pelo Regulamento. A análise de compatibilidade obriga a um cotejo artigo a artigo.</w:t>
      </w:r>
    </w:p>
    <w:p>
      <w:pPr>
        <w:spacing w:before="160" w:after="20"/>
      </w:pPr>
      <w:r>
        <w:rPr>
          <w:rFonts w:ascii="Calibri" w:hAnsi="Calibri"/>
          <w:b/>
          <w:color w:val="003366"/>
          <w:sz w:val="22"/>
        </w:rPr>
        <w:t>Decreto-Lei n.º 260/2012, de 12 de dezembro</w:t>
      </w:r>
    </w:p>
    <w:p>
      <w:pPr>
        <w:spacing w:before="0" w:after="20"/>
        <w:ind w:left="340"/>
      </w:pPr>
      <w:r>
        <w:rPr>
          <w:rFonts w:ascii="Calibri" w:hAnsi="Calibri"/>
          <w:b/>
          <w:color w:val="505050"/>
          <w:sz w:val="20"/>
        </w:rPr>
        <w:t xml:space="preserve">Ementa: </w:t>
      </w:r>
      <w:r>
        <w:rPr>
          <w:rFonts w:ascii="Calibri" w:hAnsi="Calibri"/>
          <w:color w:val="505050"/>
          <w:sz w:val="20"/>
        </w:rPr>
        <w:t>Primeira alteração ao Decreto-Lei n.º 276/2001, de 17 de outubro. Adapta as normas relativas à reprodução, criação, manutenção e venda de animais de companhia.</w:t>
      </w:r>
    </w:p>
    <w:p>
      <w:pPr>
        <w:spacing w:before="0" w:after="40"/>
        <w:ind w:left="340"/>
      </w:pPr>
      <w:r>
        <w:rPr>
          <w:rFonts w:ascii="Calibri" w:hAnsi="Calibri"/>
          <w:b/>
          <w:i/>
          <w:sz w:val="20"/>
        </w:rPr>
        <w:t xml:space="preserve">Relevância: </w:t>
      </w:r>
      <w:r>
        <w:rPr>
          <w:rFonts w:ascii="Calibri" w:hAnsi="Calibri"/>
          <w:i/>
          <w:sz w:val="20"/>
        </w:rPr>
        <w:t>Diploma modificador do regime base. Introduz requisitos específicos de criação comercial e reprodução que colidem ou se sobrepõem com disposições do Regulamento — designadamente em matéria de operadores e estabelecimentos.</w:t>
      </w:r>
    </w:p>
    <w:p>
      <w:pPr>
        <w:spacing w:before="160" w:after="20"/>
      </w:pPr>
      <w:r>
        <w:rPr>
          <w:rFonts w:ascii="Calibri" w:hAnsi="Calibri"/>
          <w:b/>
          <w:color w:val="003366"/>
          <w:sz w:val="22"/>
        </w:rPr>
        <w:t>Lei n.º 8/2017, de 3 de março</w:t>
      </w:r>
    </w:p>
    <w:p>
      <w:pPr>
        <w:spacing w:before="0" w:after="20"/>
        <w:ind w:left="340"/>
      </w:pPr>
      <w:r>
        <w:rPr>
          <w:rFonts w:ascii="Calibri" w:hAnsi="Calibri"/>
          <w:b/>
          <w:color w:val="505050"/>
          <w:sz w:val="20"/>
        </w:rPr>
        <w:t xml:space="preserve">Ementa: </w:t>
      </w:r>
      <w:r>
        <w:rPr>
          <w:rFonts w:ascii="Calibri" w:hAnsi="Calibri"/>
          <w:color w:val="505050"/>
          <w:sz w:val="20"/>
        </w:rPr>
        <w:t>Estabelece um estatuto jurídico dos animais, alterando o Código Civil, aprovado pelo Decreto-Lei n.º 47344, de 25 de novembro de 1966, o Código de Processo Civil, aprovado pela Lei n.º 41/2013, de 26 de junho, e o Código Penal, aprovado pelo Decreto-Lei n.º 400/82, de 23 de setembro.</w:t>
      </w:r>
    </w:p>
    <w:p>
      <w:pPr>
        <w:spacing w:before="0" w:after="40"/>
        <w:ind w:left="340"/>
      </w:pPr>
      <w:r>
        <w:rPr>
          <w:rFonts w:ascii="Calibri" w:hAnsi="Calibri"/>
          <w:b/>
          <w:i/>
          <w:sz w:val="20"/>
        </w:rPr>
        <w:t xml:space="preserve">Relevância: </w:t>
      </w:r>
      <w:r>
        <w:rPr>
          <w:rFonts w:ascii="Calibri" w:hAnsi="Calibri"/>
          <w:i/>
          <w:sz w:val="20"/>
        </w:rPr>
        <w:t>Diploma estruturante: reconhece os animais como seres sencientes e introduz-os no Código Civil e Penal. A implementação do Regulamento — que assenta no reconhecimento da senciência — pressupõe e complementa este estatuto, exigindo coerência sistemática.</w:t>
      </w:r>
    </w:p>
    <w:p>
      <w:r>
        <w:rPr>
          <w:b/>
          <w:color w:val="005096"/>
          <w:sz w:val="22"/>
        </w:rPr>
        <w:t>Identificação, registo e rastreabilidade</w:t>
      </w:r>
    </w:p>
    <w:p>
      <w:pPr>
        <w:spacing w:before="160" w:after="20"/>
      </w:pPr>
      <w:r>
        <w:rPr>
          <w:rFonts w:ascii="Calibri" w:hAnsi="Calibri"/>
          <w:b/>
          <w:color w:val="003366"/>
          <w:sz w:val="22"/>
        </w:rPr>
        <w:t>Decreto-Lei n.º 82/2019, de 27 de junho</w:t>
      </w:r>
    </w:p>
    <w:p>
      <w:pPr>
        <w:spacing w:before="0" w:after="20"/>
        <w:ind w:left="340"/>
      </w:pPr>
      <w:r>
        <w:rPr>
          <w:rFonts w:ascii="Calibri" w:hAnsi="Calibri"/>
          <w:b/>
          <w:color w:val="505050"/>
          <w:sz w:val="20"/>
        </w:rPr>
        <w:t xml:space="preserve">Ementa: </w:t>
      </w:r>
      <w:r>
        <w:rPr>
          <w:rFonts w:ascii="Calibri" w:hAnsi="Calibri"/>
          <w:color w:val="505050"/>
          <w:sz w:val="20"/>
        </w:rPr>
        <w:t>Estabelece as regras de identificação dos animais de companhia, cria o Sistema de Informação de Animais de Companhia (SIAC) e define as obrigações dos detentores, criadores e médicos veterinários.</w:t>
      </w:r>
    </w:p>
    <w:p>
      <w:pPr>
        <w:spacing w:before="0" w:after="40"/>
        <w:ind w:left="340"/>
      </w:pPr>
      <w:r>
        <w:rPr>
          <w:rFonts w:ascii="Calibri" w:hAnsi="Calibri"/>
          <w:b/>
          <w:i/>
          <w:sz w:val="20"/>
        </w:rPr>
        <w:t xml:space="preserve">Relevância: </w:t>
      </w:r>
      <w:r>
        <w:rPr>
          <w:rFonts w:ascii="Calibri" w:hAnsi="Calibri"/>
          <w:i/>
          <w:sz w:val="20"/>
        </w:rPr>
        <w:t>O Regulamento fixa requisitos de rastreabilidade que implicam articulação direta com o SIAC. A compatibilidade entre os sistemas de registo nacionais e o quadro europeu é uma das questões centrais da implementação.</w:t>
      </w:r>
    </w:p>
    <w:p>
      <w:r>
        <w:rPr>
          <w:b/>
          <w:color w:val="005096"/>
          <w:sz w:val="22"/>
        </w:rPr>
        <w:t>Animais errantes e centros de recolha oficial</w:t>
      </w:r>
    </w:p>
    <w:p>
      <w:pPr>
        <w:spacing w:before="160" w:after="20"/>
      </w:pPr>
      <w:r>
        <w:rPr>
          <w:rFonts w:ascii="Calibri" w:hAnsi="Calibri"/>
          <w:b/>
          <w:color w:val="003366"/>
          <w:sz w:val="22"/>
        </w:rPr>
        <w:t>Lei n.º 27/2016, de 23 de agosto</w:t>
      </w:r>
    </w:p>
    <w:p>
      <w:pPr>
        <w:spacing w:before="0" w:after="20"/>
        <w:ind w:left="340"/>
      </w:pPr>
      <w:r>
        <w:rPr>
          <w:rFonts w:ascii="Calibri" w:hAnsi="Calibri"/>
          <w:b/>
          <w:color w:val="505050"/>
          <w:sz w:val="20"/>
        </w:rPr>
        <w:t xml:space="preserve">Ementa: </w:t>
      </w:r>
      <w:r>
        <w:rPr>
          <w:rFonts w:ascii="Calibri" w:hAnsi="Calibri"/>
          <w:color w:val="505050"/>
          <w:sz w:val="20"/>
        </w:rPr>
        <w:t>Aprova medidas para a criação de uma rede de centros de recolha oficial de animais e para a modernização dos serviços municipais de veterinária, e estabelece a proibição do abate de animais errantes como forma de controlo da população, privilegiando a esterilização.</w:t>
      </w:r>
    </w:p>
    <w:p>
      <w:pPr>
        <w:spacing w:before="0" w:after="40"/>
        <w:ind w:left="340"/>
      </w:pPr>
      <w:r>
        <w:rPr>
          <w:rFonts w:ascii="Calibri" w:hAnsi="Calibri"/>
          <w:b/>
          <w:i/>
          <w:sz w:val="20"/>
        </w:rPr>
        <w:t xml:space="preserve">Relevância: </w:t>
      </w:r>
      <w:r>
        <w:rPr>
          <w:rFonts w:ascii="Calibri" w:hAnsi="Calibri"/>
          <w:i/>
          <w:sz w:val="20"/>
        </w:rPr>
        <w:t>O Regulamento contém disposições sobre controlo de populações errantes que devem ser lidas em articulação com a rede de centros de recolha criada por este diploma e o modelo de esterilização como alternativa ao abate.</w:t>
      </w:r>
    </w:p>
    <w:p>
      <w:pPr>
        <w:spacing w:before="160" w:after="20"/>
      </w:pPr>
      <w:r>
        <w:rPr>
          <w:rFonts w:ascii="Calibri" w:hAnsi="Calibri"/>
          <w:b/>
          <w:color w:val="003366"/>
          <w:sz w:val="22"/>
        </w:rPr>
        <w:t>Portaria n.º 146/2017, de 26 de abril</w:t>
      </w:r>
    </w:p>
    <w:p>
      <w:pPr>
        <w:spacing w:before="0" w:after="20"/>
        <w:ind w:left="340"/>
      </w:pPr>
      <w:r>
        <w:rPr>
          <w:rFonts w:ascii="Calibri" w:hAnsi="Calibri"/>
          <w:b/>
          <w:color w:val="505050"/>
          <w:sz w:val="20"/>
        </w:rPr>
        <w:t xml:space="preserve">Ementa: </w:t>
      </w:r>
      <w:r>
        <w:rPr>
          <w:rFonts w:ascii="Calibri" w:hAnsi="Calibri"/>
          <w:color w:val="505050"/>
          <w:sz w:val="20"/>
        </w:rPr>
        <w:t>Regulamenta a Lei n.º 27/2016, de 23 de agosto, estabelecendo as condições de instalação e funcionamento dos centros de recolha oficial de animais de companhia e as normas técnicas dos programas de gestão de animais errantes.</w:t>
      </w:r>
    </w:p>
    <w:p>
      <w:pPr>
        <w:spacing w:before="0" w:after="40"/>
        <w:ind w:left="340"/>
      </w:pPr>
      <w:r>
        <w:rPr>
          <w:rFonts w:ascii="Calibri" w:hAnsi="Calibri"/>
          <w:b/>
          <w:i/>
          <w:sz w:val="20"/>
        </w:rPr>
        <w:t xml:space="preserve">Relevância: </w:t>
      </w:r>
      <w:r>
        <w:rPr>
          <w:rFonts w:ascii="Calibri" w:hAnsi="Calibri"/>
          <w:i/>
          <w:sz w:val="20"/>
        </w:rPr>
        <w:t>Define as normas técnicas operacionais dos centros de recolha. A implementação do Regulamento implicará verificar a adequação destas normas aos novos padrões europeus de bem-estar em instalações.</w:t>
      </w:r>
    </w:p>
    <w:p>
      <w:r>
        <w:rPr>
          <w:b/>
          <w:color w:val="005096"/>
          <w:sz w:val="22"/>
        </w:rPr>
        <w:t>Animais perigosos e potencialmente perigosos</w:t>
      </w:r>
    </w:p>
    <w:p>
      <w:pPr>
        <w:spacing w:before="160" w:after="20"/>
      </w:pPr>
      <w:r>
        <w:rPr>
          <w:rFonts w:ascii="Calibri" w:hAnsi="Calibri"/>
          <w:b/>
          <w:color w:val="003366"/>
          <w:sz w:val="22"/>
        </w:rPr>
        <w:t>Decreto-Lei n.º 315/2009, de 29 de outubro</w:t>
      </w:r>
    </w:p>
    <w:p>
      <w:pPr>
        <w:spacing w:before="0" w:after="20"/>
        <w:ind w:left="340"/>
      </w:pPr>
      <w:r>
        <w:rPr>
          <w:rFonts w:ascii="Calibri" w:hAnsi="Calibri"/>
          <w:b/>
          <w:color w:val="505050"/>
          <w:sz w:val="20"/>
        </w:rPr>
        <w:t xml:space="preserve">Ementa: </w:t>
      </w:r>
      <w:r>
        <w:rPr>
          <w:rFonts w:ascii="Calibri" w:hAnsi="Calibri"/>
          <w:color w:val="505050"/>
          <w:sz w:val="20"/>
        </w:rPr>
        <w:t>Aprova o regime jurídico da detenção de animais perigosos e potencialmente perigosos enquanto animais de companhia, revogando o Decreto-Lei n.º 312/2003, de 17 de dezembro.</w:t>
      </w:r>
    </w:p>
    <w:p>
      <w:pPr>
        <w:spacing w:before="0" w:after="40"/>
        <w:ind w:left="340"/>
      </w:pPr>
      <w:r>
        <w:rPr>
          <w:rFonts w:ascii="Calibri" w:hAnsi="Calibri"/>
          <w:b/>
          <w:i/>
          <w:sz w:val="20"/>
        </w:rPr>
        <w:t xml:space="preserve">Relevância: </w:t>
      </w:r>
      <w:r>
        <w:rPr>
          <w:rFonts w:ascii="Calibri" w:hAnsi="Calibri"/>
          <w:i/>
          <w:sz w:val="20"/>
        </w:rPr>
        <w:t>O Regulamento estabelece requisitos de bem-estar aplicáveis a todos os animais de companhia, incluindo raças classificadas como perigosas. A sobreposição de regimes — nacional e europeu — exige análise de compatibilidade e eventual revisão.</w:t>
      </w:r>
    </w:p>
    <w:p>
      <w:pPr>
        <w:spacing w:before="160" w:after="20"/>
      </w:pPr>
      <w:r>
        <w:rPr>
          <w:rFonts w:ascii="Calibri" w:hAnsi="Calibri"/>
          <w:b/>
          <w:color w:val="003366"/>
          <w:sz w:val="22"/>
        </w:rPr>
        <w:t>Lei n.º 46/2013, de 4 de julho</w:t>
      </w:r>
    </w:p>
    <w:p>
      <w:pPr>
        <w:spacing w:before="0" w:after="20"/>
        <w:ind w:left="340"/>
      </w:pPr>
      <w:r>
        <w:rPr>
          <w:rFonts w:ascii="Calibri" w:hAnsi="Calibri"/>
          <w:b/>
          <w:color w:val="505050"/>
          <w:sz w:val="20"/>
        </w:rPr>
        <w:t xml:space="preserve">Ementa: </w:t>
      </w:r>
      <w:r>
        <w:rPr>
          <w:rFonts w:ascii="Calibri" w:hAnsi="Calibri"/>
          <w:color w:val="505050"/>
          <w:sz w:val="20"/>
        </w:rPr>
        <w:t>Quarta alteração ao Decreto-Lei n.º 315/2009, de 29 de outubro. Reforça as obrigações dos detentores de animais perigosos e potencialmente perigosos e introduz novas medidas de controlo.</w:t>
      </w:r>
    </w:p>
    <w:p>
      <w:pPr>
        <w:spacing w:before="0" w:after="40"/>
        <w:ind w:left="340"/>
      </w:pPr>
      <w:r>
        <w:rPr>
          <w:rFonts w:ascii="Calibri" w:hAnsi="Calibri"/>
          <w:b/>
          <w:i/>
          <w:sz w:val="20"/>
        </w:rPr>
        <w:t xml:space="preserve">Relevância: </w:t>
      </w:r>
      <w:r>
        <w:rPr>
          <w:rFonts w:ascii="Calibri" w:hAnsi="Calibri"/>
          <w:i/>
          <w:sz w:val="20"/>
        </w:rPr>
        <w:t>Diploma modificador do regime de animais perigosos. Altera obrigações de detenção que o Regulamento pode alargar ou substituir, obrigando a revisão da cadeia de alterações legislativas.</w:t>
      </w:r>
    </w:p>
    <w:p>
      <w:pPr>
        <w:spacing w:before="160" w:after="20"/>
      </w:pPr>
      <w:r>
        <w:rPr>
          <w:rFonts w:ascii="Calibri" w:hAnsi="Calibri"/>
          <w:b/>
          <w:color w:val="003366"/>
          <w:sz w:val="22"/>
        </w:rPr>
        <w:t>Portaria n.º 422/2004, de 24 de abril</w:t>
      </w:r>
    </w:p>
    <w:p>
      <w:pPr>
        <w:spacing w:before="0" w:after="20"/>
        <w:ind w:left="340"/>
      </w:pPr>
      <w:r>
        <w:rPr>
          <w:rFonts w:ascii="Calibri" w:hAnsi="Calibri"/>
          <w:b/>
          <w:color w:val="505050"/>
          <w:sz w:val="20"/>
        </w:rPr>
        <w:t xml:space="preserve">Ementa: </w:t>
      </w:r>
      <w:r>
        <w:rPr>
          <w:rFonts w:ascii="Calibri" w:hAnsi="Calibri"/>
          <w:color w:val="505050"/>
          <w:sz w:val="20"/>
        </w:rPr>
        <w:t>Determina as raças de cães e os cruzamentos de raças considerados potencialmente perigosos para efeitos do regime jurídico de detenção de animais perigosos.</w:t>
      </w:r>
    </w:p>
    <w:p>
      <w:pPr>
        <w:spacing w:before="0" w:after="40"/>
        <w:ind w:left="340"/>
      </w:pPr>
      <w:r>
        <w:rPr>
          <w:rFonts w:ascii="Calibri" w:hAnsi="Calibri"/>
          <w:b/>
          <w:i/>
          <w:sz w:val="20"/>
        </w:rPr>
        <w:t xml:space="preserve">Relevância: </w:t>
      </w:r>
      <w:r>
        <w:rPr>
          <w:rFonts w:ascii="Calibri" w:hAnsi="Calibri"/>
          <w:i/>
          <w:sz w:val="20"/>
        </w:rPr>
        <w:t>A lista de raças perigosas — e a sua compatibilidade com os critérios do Regulamento — é um ponto de potencial conflito normativo que exige escrutínio no processo de implementação.</w:t>
      </w:r>
    </w:p>
    <w:p>
      <w:r>
        <w:rPr>
          <w:b/>
          <w:color w:val="005096"/>
          <w:sz w:val="22"/>
        </w:rPr>
        <w:t>Crimes e sanções — maus-tratos a animais de companhia</w:t>
      </w:r>
    </w:p>
    <w:p>
      <w:pPr>
        <w:spacing w:before="160" w:after="20"/>
      </w:pPr>
      <w:r>
        <w:rPr>
          <w:rFonts w:ascii="Calibri" w:hAnsi="Calibri"/>
          <w:b/>
          <w:color w:val="003366"/>
          <w:sz w:val="22"/>
        </w:rPr>
        <w:t>Lei n.º 69/2014, de 29 de agosto</w:t>
      </w:r>
    </w:p>
    <w:p>
      <w:pPr>
        <w:spacing w:before="0" w:after="20"/>
        <w:ind w:left="340"/>
      </w:pPr>
      <w:r>
        <w:rPr>
          <w:rFonts w:ascii="Calibri" w:hAnsi="Calibri"/>
          <w:b/>
          <w:color w:val="505050"/>
          <w:sz w:val="20"/>
        </w:rPr>
        <w:t xml:space="preserve">Ementa: </w:t>
      </w:r>
      <w:r>
        <w:rPr>
          <w:rFonts w:ascii="Calibri" w:hAnsi="Calibri"/>
          <w:color w:val="505050"/>
          <w:sz w:val="20"/>
        </w:rPr>
        <w:t>Procede à 30.ª alteração ao Código Penal, aprovado pelo Decreto-Lei n.º 400/82, de 23 de setembro, criminalizando os maus-tratos a animais de companhia.</w:t>
      </w:r>
    </w:p>
    <w:p>
      <w:pPr>
        <w:spacing w:before="0" w:after="40"/>
        <w:ind w:left="340"/>
      </w:pPr>
      <w:r>
        <w:rPr>
          <w:rFonts w:ascii="Calibri" w:hAnsi="Calibri"/>
          <w:b/>
          <w:i/>
          <w:sz w:val="20"/>
        </w:rPr>
        <w:t xml:space="preserve">Relevância: </w:t>
      </w:r>
      <w:r>
        <w:rPr>
          <w:rFonts w:ascii="Calibri" w:hAnsi="Calibri"/>
          <w:i/>
          <w:sz w:val="20"/>
        </w:rPr>
        <w:t>Introduziu os crimes de maus-tratos e abandono de animais no Código Penal. O regime sancionatório do Regulamento deverá ser articulado com estas disposições penais nacionais, avaliando sobreposições e lacunas.</w:t>
      </w:r>
    </w:p>
    <w:p>
      <w:pPr>
        <w:spacing w:before="160" w:after="20"/>
      </w:pPr>
      <w:r>
        <w:rPr>
          <w:rFonts w:ascii="Calibri" w:hAnsi="Calibri"/>
          <w:b/>
          <w:color w:val="003366"/>
          <w:sz w:val="22"/>
        </w:rPr>
        <w:t>Lei n.º 39/2020, de 18 de agosto</w:t>
      </w:r>
    </w:p>
    <w:p>
      <w:pPr>
        <w:spacing w:before="0" w:after="20"/>
        <w:ind w:left="340"/>
      </w:pPr>
      <w:r>
        <w:rPr>
          <w:rFonts w:ascii="Calibri" w:hAnsi="Calibri"/>
          <w:b/>
          <w:color w:val="505050"/>
          <w:sz w:val="20"/>
        </w:rPr>
        <w:t xml:space="preserve">Ementa: </w:t>
      </w:r>
      <w:r>
        <w:rPr>
          <w:rFonts w:ascii="Calibri" w:hAnsi="Calibri"/>
          <w:color w:val="505050"/>
          <w:sz w:val="20"/>
        </w:rPr>
        <w:t>Procede à 50.ª alteração ao Código Penal, aprovado pelo Decreto-Lei n.º 400/82, de 23 de setembro, e à terceira alteração à Lei n.º 92/95, de 12 de setembro, agravando as penas aplicáveis aos crimes contra animais de companhia.</w:t>
      </w:r>
    </w:p>
    <w:p>
      <w:pPr>
        <w:spacing w:before="0" w:after="40"/>
        <w:ind w:left="340"/>
      </w:pPr>
      <w:r>
        <w:rPr>
          <w:rFonts w:ascii="Calibri" w:hAnsi="Calibri"/>
          <w:b/>
          <w:i/>
          <w:sz w:val="20"/>
        </w:rPr>
        <w:t xml:space="preserve">Relevância: </w:t>
      </w:r>
      <w:r>
        <w:rPr>
          <w:rFonts w:ascii="Calibri" w:hAnsi="Calibri"/>
          <w:i/>
          <w:sz w:val="20"/>
        </w:rPr>
        <w:t>Agrava as penas de crimes contra animais. O regime sancionatório mais exigente do Regulamento deve ser testado face a este diploma para determinar se exige novos ajustamentos ao Código Penal.</w:t>
      </w:r>
    </w:p>
    <w:p>
      <w:r>
        <w:rPr>
          <w:b/>
          <w:color w:val="005096"/>
          <w:sz w:val="22"/>
        </w:rPr>
        <w:t>Raiva, zoonoses e saúde animal</w:t>
      </w:r>
    </w:p>
    <w:p>
      <w:pPr>
        <w:spacing w:before="160" w:after="20"/>
      </w:pPr>
      <w:r>
        <w:rPr>
          <w:rFonts w:ascii="Calibri" w:hAnsi="Calibri"/>
          <w:b/>
          <w:color w:val="003366"/>
          <w:sz w:val="22"/>
        </w:rPr>
        <w:t>Decreto-Lei n.º 314/2003, de 17 de dezembro</w:t>
      </w:r>
    </w:p>
    <w:p>
      <w:pPr>
        <w:spacing w:before="0" w:after="20"/>
        <w:ind w:left="340"/>
      </w:pPr>
      <w:r>
        <w:rPr>
          <w:rFonts w:ascii="Calibri" w:hAnsi="Calibri"/>
          <w:b/>
          <w:color w:val="505050"/>
          <w:sz w:val="20"/>
        </w:rPr>
        <w:t xml:space="preserve">Ementa: </w:t>
      </w:r>
      <w:r>
        <w:rPr>
          <w:rFonts w:ascii="Calibri" w:hAnsi="Calibri"/>
          <w:color w:val="505050"/>
          <w:sz w:val="20"/>
        </w:rPr>
        <w:t>Aprova o Programa Nacional de Luta e Vigilância Epidemiológica da Raiva Animal e Outras Zoonoses (PNLVERAZ) e estabelece as regras relativas à posse, detenção, comércio, exposições e entradas em território nacional de animais suscetíveis à raiva.</w:t>
      </w:r>
    </w:p>
    <w:p>
      <w:pPr>
        <w:spacing w:before="0" w:after="40"/>
        <w:ind w:left="340"/>
      </w:pPr>
      <w:r>
        <w:rPr>
          <w:rFonts w:ascii="Calibri" w:hAnsi="Calibri"/>
          <w:b/>
          <w:i/>
          <w:sz w:val="20"/>
        </w:rPr>
        <w:t xml:space="preserve">Relevância: </w:t>
      </w:r>
      <w:r>
        <w:rPr>
          <w:rFonts w:ascii="Calibri" w:hAnsi="Calibri"/>
          <w:i/>
          <w:sz w:val="20"/>
        </w:rPr>
        <w:t>Diploma base de saúde animal. O Regulamento inclui requisitos de saúde (vacinação, titulações, tratamentos) que se sobrepõem ao PNLVERAZ. A harmonização exige análise da compatibilidade de requisitos técnicos e calendários vacinais.</w:t>
      </w:r>
    </w:p>
    <w:p>
      <w:pPr>
        <w:spacing w:before="160" w:after="20"/>
      </w:pPr>
      <w:r>
        <w:rPr>
          <w:rFonts w:ascii="Calibri" w:hAnsi="Calibri"/>
          <w:b/>
          <w:color w:val="003366"/>
          <w:sz w:val="22"/>
        </w:rPr>
        <w:t>Portaria n.º 264/2013, de 16 de agosto</w:t>
      </w:r>
    </w:p>
    <w:p>
      <w:pPr>
        <w:spacing w:before="0" w:after="20"/>
        <w:ind w:left="340"/>
      </w:pPr>
      <w:r>
        <w:rPr>
          <w:rFonts w:ascii="Calibri" w:hAnsi="Calibri"/>
          <w:b/>
          <w:color w:val="505050"/>
          <w:sz w:val="20"/>
        </w:rPr>
        <w:t xml:space="preserve">Ementa: </w:t>
      </w:r>
      <w:r>
        <w:rPr>
          <w:rFonts w:ascii="Calibri" w:hAnsi="Calibri"/>
          <w:color w:val="505050"/>
          <w:sz w:val="20"/>
        </w:rPr>
        <w:t>Aprova as normas técnicas de execução regulamentar do Programa Nacional de Luta e Vigilância Epidemiológica da Raiva Animal e Outras Zoonoses (PNLVERAZ), revogando a Portaria n.º 81/2002, de 24 de janeiro.</w:t>
      </w:r>
    </w:p>
    <w:p>
      <w:pPr>
        <w:spacing w:before="0" w:after="40"/>
        <w:ind w:left="340"/>
      </w:pPr>
      <w:r>
        <w:rPr>
          <w:rFonts w:ascii="Calibri" w:hAnsi="Calibri"/>
          <w:b/>
          <w:i/>
          <w:sz w:val="20"/>
        </w:rPr>
        <w:t xml:space="preserve">Relevância: </w:t>
      </w:r>
      <w:r>
        <w:rPr>
          <w:rFonts w:ascii="Calibri" w:hAnsi="Calibri"/>
          <w:i/>
          <w:sz w:val="20"/>
        </w:rPr>
        <w:t>Define os protocolos técnicos de vacinação e vigilância epidemiológica. A implementação do Regulamento pode exigir revisão das normas técnicas aqui fixadas para alinhamento com os novos padrões europeus de saúde animal.</w:t>
      </w:r>
    </w:p>
    <w:p>
      <w:r>
        <w:rPr>
          <w:b/>
          <w:color w:val="005096"/>
          <w:sz w:val="22"/>
        </w:rPr>
        <w:t>Cães de assistência</w:t>
      </w:r>
    </w:p>
    <w:p>
      <w:pPr>
        <w:spacing w:before="160" w:after="20"/>
      </w:pPr>
      <w:r>
        <w:rPr>
          <w:rFonts w:ascii="Calibri" w:hAnsi="Calibri"/>
          <w:b/>
          <w:color w:val="003366"/>
          <w:sz w:val="22"/>
        </w:rPr>
        <w:t>Decreto-Lei n.º 74/2007, de 27 de março</w:t>
      </w:r>
    </w:p>
    <w:p>
      <w:pPr>
        <w:spacing w:before="0" w:after="20"/>
        <w:ind w:left="340"/>
      </w:pPr>
      <w:r>
        <w:rPr>
          <w:rFonts w:ascii="Calibri" w:hAnsi="Calibri"/>
          <w:b/>
          <w:color w:val="505050"/>
          <w:sz w:val="20"/>
        </w:rPr>
        <w:t xml:space="preserve">Ementa: </w:t>
      </w:r>
      <w:r>
        <w:rPr>
          <w:rFonts w:ascii="Calibri" w:hAnsi="Calibri"/>
          <w:color w:val="505050"/>
          <w:sz w:val="20"/>
        </w:rPr>
        <w:t>Consagra o direito de acesso das pessoas com deficiência acompanhadas de cães de assistência a locais, transportes e estabelecimentos de acesso público, e ao arrendamento de imóveis.</w:t>
      </w:r>
    </w:p>
    <w:p>
      <w:pPr>
        <w:spacing w:before="0" w:after="40"/>
        <w:ind w:left="340"/>
      </w:pPr>
      <w:r>
        <w:rPr>
          <w:rFonts w:ascii="Calibri" w:hAnsi="Calibri"/>
          <w:b/>
          <w:i/>
          <w:sz w:val="20"/>
        </w:rPr>
        <w:t xml:space="preserve">Relevância: </w:t>
      </w:r>
      <w:r>
        <w:rPr>
          <w:rFonts w:ascii="Calibri" w:hAnsi="Calibri"/>
          <w:i/>
          <w:sz w:val="20"/>
        </w:rPr>
        <w:t>O Regulamento pode estabelecer requisitos adicionais para cães de assistência — em matéria de identificação, saúde e bem-estar — que se articulam com o direito de acesso consagrado neste diploma.</w:t>
      </w:r>
    </w:p>
    <w:p>
      <w:r>
        <w:rPr>
          <w:b/>
          <w:color w:val="005096"/>
          <w:sz w:val="22"/>
        </w:rPr>
        <w:t>Transporte de animais de companhia</w:t>
      </w:r>
    </w:p>
    <w:p>
      <w:pPr>
        <w:spacing w:before="160" w:after="20"/>
      </w:pPr>
      <w:r>
        <w:rPr>
          <w:rFonts w:ascii="Calibri" w:hAnsi="Calibri"/>
          <w:b/>
          <w:color w:val="003366"/>
          <w:sz w:val="22"/>
        </w:rPr>
        <w:t>Portaria n.º 968/2009, de 26 de agosto</w:t>
      </w:r>
    </w:p>
    <w:p>
      <w:pPr>
        <w:spacing w:before="0" w:after="20"/>
        <w:ind w:left="340"/>
      </w:pPr>
      <w:r>
        <w:rPr>
          <w:rFonts w:ascii="Calibri" w:hAnsi="Calibri"/>
          <w:b/>
          <w:color w:val="505050"/>
          <w:sz w:val="20"/>
        </w:rPr>
        <w:t xml:space="preserve">Ementa: </w:t>
      </w:r>
      <w:r>
        <w:rPr>
          <w:rFonts w:ascii="Calibri" w:hAnsi="Calibri"/>
          <w:color w:val="505050"/>
          <w:sz w:val="20"/>
        </w:rPr>
        <w:t>Estabelece as regras a que obedecem as deslocações de animais de companhia, designadamente cães e gatos, em veículos de transporte público rodoviário, ferroviário e fluvial.</w:t>
      </w:r>
    </w:p>
    <w:p>
      <w:pPr>
        <w:spacing w:before="0" w:after="40"/>
        <w:ind w:left="340"/>
      </w:pPr>
      <w:r>
        <w:rPr>
          <w:rFonts w:ascii="Calibri" w:hAnsi="Calibri"/>
          <w:b/>
          <w:i/>
          <w:sz w:val="20"/>
        </w:rPr>
        <w:t xml:space="preserve">Relevância: </w:t>
      </w:r>
      <w:r>
        <w:rPr>
          <w:rFonts w:ascii="Calibri" w:hAnsi="Calibri"/>
          <w:i/>
          <w:sz w:val="20"/>
        </w:rPr>
        <w:t>O Regulamento inclui disposições sobre movimentação e transporte de cães e gatos. As regras nacionais de transporte público deverão ser revistas para verificar compatibilidade com os novos padrões de bem-estar durante transporte.</w:t>
      </w:r>
    </w:p>
    <w:p>
      <w:r>
        <w:rPr>
          <w:b/>
          <w:color w:val="005096"/>
          <w:sz w:val="22"/>
        </w:rPr>
        <w:t>Comércio, criação e estabelecimentos</w:t>
      </w:r>
    </w:p>
    <w:p>
      <w:pPr>
        <w:spacing w:before="160" w:after="20"/>
      </w:pPr>
      <w:r>
        <w:rPr>
          <w:rFonts w:ascii="Calibri" w:hAnsi="Calibri"/>
          <w:b/>
          <w:color w:val="003366"/>
          <w:sz w:val="22"/>
        </w:rPr>
        <w:t>Lei n.º 95/2017, de 23 de agosto</w:t>
      </w:r>
    </w:p>
    <w:p>
      <w:pPr>
        <w:spacing w:before="0" w:after="20"/>
        <w:ind w:left="340"/>
      </w:pPr>
      <w:r>
        <w:rPr>
          <w:rFonts w:ascii="Calibri" w:hAnsi="Calibri"/>
          <w:b/>
          <w:color w:val="505050"/>
          <w:sz w:val="20"/>
        </w:rPr>
        <w:t xml:space="preserve">Ementa: </w:t>
      </w:r>
      <w:r>
        <w:rPr>
          <w:rFonts w:ascii="Calibri" w:hAnsi="Calibri"/>
          <w:color w:val="505050"/>
          <w:sz w:val="20"/>
        </w:rPr>
        <w:t>Regula a compra e venda de animais de companhia em estabelecimentos comerciais e através de plataformas electrónicas.</w:t>
      </w:r>
    </w:p>
    <w:p>
      <w:pPr>
        <w:spacing w:before="0" w:after="40"/>
        <w:ind w:left="340"/>
      </w:pPr>
      <w:r>
        <w:rPr>
          <w:rFonts w:ascii="Calibri" w:hAnsi="Calibri"/>
          <w:b/>
          <w:i/>
          <w:sz w:val="20"/>
        </w:rPr>
        <w:t xml:space="preserve">Relevância: </w:t>
      </w:r>
      <w:r>
        <w:rPr>
          <w:rFonts w:ascii="Calibri" w:hAnsi="Calibri"/>
          <w:i/>
          <w:sz w:val="20"/>
        </w:rPr>
        <w:t>O Regulamento regula a publicidade e comércio online de animais de companhia — matéria diretamente coberta por este diploma. A verificação de compatibilidade é prioritária, designadamente quanto a requisitos de informação ao consumidor e rastreabilidade da origem.</w:t>
      </w:r>
    </w:p>
    <w:p>
      <w:pPr>
        <w:spacing w:before="160" w:after="20"/>
      </w:pPr>
      <w:r>
        <w:rPr>
          <w:rFonts w:ascii="Calibri" w:hAnsi="Calibri"/>
          <w:b/>
          <w:color w:val="003366"/>
          <w:sz w:val="22"/>
        </w:rPr>
        <w:t>Portaria n.º 67/2018, de 7 de março</w:t>
      </w:r>
    </w:p>
    <w:p>
      <w:pPr>
        <w:spacing w:before="0" w:after="20"/>
        <w:ind w:left="340"/>
      </w:pPr>
      <w:r>
        <w:rPr>
          <w:rFonts w:ascii="Calibri" w:hAnsi="Calibri"/>
          <w:b/>
          <w:color w:val="505050"/>
          <w:sz w:val="20"/>
        </w:rPr>
        <w:t xml:space="preserve">Ementa: </w:t>
      </w:r>
      <w:r>
        <w:rPr>
          <w:rFonts w:ascii="Calibri" w:hAnsi="Calibri"/>
          <w:color w:val="505050"/>
          <w:sz w:val="20"/>
        </w:rPr>
        <w:t>Estabelece as normas relativas à atividade de criação comercial de animais de companhia e fixa os requisitos para obtenção do número de registo de criador.</w:t>
      </w:r>
    </w:p>
    <w:p>
      <w:pPr>
        <w:spacing w:before="0" w:after="40"/>
        <w:ind w:left="340"/>
      </w:pPr>
      <w:r>
        <w:rPr>
          <w:rFonts w:ascii="Calibri" w:hAnsi="Calibri"/>
          <w:b/>
          <w:i/>
          <w:sz w:val="20"/>
        </w:rPr>
        <w:t xml:space="preserve">Relevância: </w:t>
      </w:r>
      <w:r>
        <w:rPr>
          <w:rFonts w:ascii="Calibri" w:hAnsi="Calibri"/>
          <w:i/>
          <w:sz w:val="20"/>
        </w:rPr>
        <w:t>Define o regime de registo e requisitos dos criadores. O Regulamento fixa novos padrões para operadores — incluindo criadores — que podem implicar a revisão das exigências desta Portaria.</w:t>
      </w:r>
    </w:p>
    <w:p>
      <w:r>
        <w:rPr>
          <w:b/>
          <w:color w:val="005096"/>
          <w:sz w:val="22"/>
        </w:rPr>
        <w:t>Circos e espetáculos com animais</w:t>
      </w:r>
    </w:p>
    <w:p>
      <w:pPr>
        <w:spacing w:before="160" w:after="20"/>
      </w:pPr>
      <w:r>
        <w:rPr>
          <w:rFonts w:ascii="Calibri" w:hAnsi="Calibri"/>
          <w:b/>
          <w:color w:val="003366"/>
          <w:sz w:val="22"/>
        </w:rPr>
        <w:t>Lei n.º 20/2019, de 22 de fevereiro</w:t>
      </w:r>
    </w:p>
    <w:p>
      <w:pPr>
        <w:spacing w:before="0" w:after="20"/>
        <w:ind w:left="340"/>
      </w:pPr>
      <w:r>
        <w:rPr>
          <w:rFonts w:ascii="Calibri" w:hAnsi="Calibri"/>
          <w:b/>
          <w:color w:val="505050"/>
          <w:sz w:val="20"/>
        </w:rPr>
        <w:t xml:space="preserve">Ementa: </w:t>
      </w:r>
      <w:r>
        <w:rPr>
          <w:rFonts w:ascii="Calibri" w:hAnsi="Calibri"/>
          <w:color w:val="505050"/>
          <w:sz w:val="20"/>
        </w:rPr>
        <w:t>Reforça a proteção dos animais utilizados em circos, nomeadamente quanto à sua detenção, e determina o fim da utilização de animais selvagens em espetáculos de circo.</w:t>
      </w:r>
    </w:p>
    <w:p>
      <w:pPr>
        <w:spacing w:before="0" w:after="40"/>
        <w:ind w:left="340"/>
      </w:pPr>
      <w:r>
        <w:rPr>
          <w:rFonts w:ascii="Calibri" w:hAnsi="Calibri"/>
          <w:b/>
          <w:i/>
          <w:sz w:val="20"/>
        </w:rPr>
        <w:t xml:space="preserve">Relevância: </w:t>
      </w:r>
      <w:r>
        <w:rPr>
          <w:rFonts w:ascii="Calibri" w:hAnsi="Calibri"/>
          <w:i/>
          <w:sz w:val="20"/>
        </w:rPr>
        <w:t>Diploma relevante para a definição do âmbito de aplicação do Regulamento — designadamente quanto a animais detidos em contextos de exibição ou espetáculo. O regime transitório de 2019 pode ser alterado ou acelerado pela entrada em vigor do Regulamento.</w:t>
      </w:r>
    </w:p>
    <w:p>
      <w:r>
        <w:rPr>
          <w:b/>
          <w:color w:val="005096"/>
          <w:sz w:val="22"/>
        </w:rPr>
        <w:t>Espécies exóticas e detenção particular</w:t>
      </w:r>
    </w:p>
    <w:p>
      <w:pPr>
        <w:spacing w:before="160" w:after="20"/>
      </w:pPr>
      <w:r>
        <w:rPr>
          <w:rFonts w:ascii="Calibri" w:hAnsi="Calibri"/>
          <w:b/>
          <w:color w:val="003366"/>
          <w:sz w:val="22"/>
        </w:rPr>
        <w:t>Portaria n.º 85/2018, de 27 de março</w:t>
      </w:r>
    </w:p>
    <w:p>
      <w:pPr>
        <w:spacing w:before="0" w:after="20"/>
        <w:ind w:left="340"/>
      </w:pPr>
      <w:r>
        <w:rPr>
          <w:rFonts w:ascii="Calibri" w:hAnsi="Calibri"/>
          <w:b/>
          <w:color w:val="505050"/>
          <w:sz w:val="20"/>
        </w:rPr>
        <w:t xml:space="preserve">Ementa: </w:t>
      </w:r>
      <w:r>
        <w:rPr>
          <w:rFonts w:ascii="Calibri" w:hAnsi="Calibri"/>
          <w:color w:val="505050"/>
          <w:sz w:val="20"/>
        </w:rPr>
        <w:t>Define as espécies selvagens cuja detenção como animal de companhia é permitida com sujeição a registo.</w:t>
      </w:r>
    </w:p>
    <w:p>
      <w:pPr>
        <w:spacing w:before="0" w:after="40"/>
        <w:ind w:left="340"/>
      </w:pPr>
      <w:r>
        <w:rPr>
          <w:rFonts w:ascii="Calibri" w:hAnsi="Calibri"/>
          <w:b/>
          <w:i/>
          <w:sz w:val="20"/>
        </w:rPr>
        <w:t xml:space="preserve">Relevância: </w:t>
      </w:r>
      <w:r>
        <w:rPr>
          <w:rFonts w:ascii="Calibri" w:hAnsi="Calibri"/>
          <w:i/>
          <w:sz w:val="20"/>
        </w:rPr>
        <w:t>A definição de âmbito do Regulamento — limitada a cães e gatos — não elimina a necessidade de verificar articulação com os regimes de detenção de espécies exóticas, nomeadamente para efeitos de identificação e comércio.</w:t>
      </w:r>
    </w:p>
    <w:p>
      <w:pPr>
        <w:spacing w:before="160" w:after="20"/>
      </w:pPr>
      <w:r>
        <w:rPr>
          <w:rFonts w:ascii="Calibri" w:hAnsi="Calibri"/>
          <w:b/>
          <w:color w:val="003366"/>
          <w:sz w:val="22"/>
        </w:rPr>
        <w:t>Portaria n.º 86/2018, de 27 de março</w:t>
      </w:r>
    </w:p>
    <w:p>
      <w:pPr>
        <w:spacing w:before="0" w:after="20"/>
        <w:ind w:left="340"/>
      </w:pPr>
      <w:r>
        <w:rPr>
          <w:rFonts w:ascii="Calibri" w:hAnsi="Calibri"/>
          <w:b/>
          <w:color w:val="505050"/>
          <w:sz w:val="20"/>
        </w:rPr>
        <w:t xml:space="preserve">Ementa: </w:t>
      </w:r>
      <w:r>
        <w:rPr>
          <w:rFonts w:ascii="Calibri" w:hAnsi="Calibri"/>
          <w:color w:val="505050"/>
          <w:sz w:val="20"/>
        </w:rPr>
        <w:t>Identifica as espécies selvagens cuja detenção é proibida (Anexo I) e as espécies com detenção condicionada (Anexo II), em implementação da Convenção CITES.</w:t>
      </w:r>
    </w:p>
    <w:p>
      <w:pPr>
        <w:spacing w:before="0" w:after="40"/>
        <w:ind w:left="340"/>
      </w:pPr>
      <w:r>
        <w:rPr>
          <w:rFonts w:ascii="Calibri" w:hAnsi="Calibri"/>
          <w:b/>
          <w:i/>
          <w:sz w:val="20"/>
        </w:rPr>
        <w:t xml:space="preserve">Relevância: </w:t>
      </w:r>
      <w:r>
        <w:rPr>
          <w:rFonts w:ascii="Calibri" w:hAnsi="Calibri"/>
          <w:i/>
          <w:sz w:val="20"/>
        </w:rPr>
        <w:t>Complementa a Portaria 85/2018. Relevante para garantir que a implementação do Regulamento não cria brechas no controlo de espécies proibidas, nomeadamente via plataformas de comércio eletrónico.</w:t>
      </w:r>
    </w:p>
    <w:p>
      <w:r>
        <w:rPr>
          <w:b/>
          <w:color w:val="005096"/>
          <w:sz w:val="22"/>
        </w:rPr>
        <w:t>Cães de caça — matilhas</w:t>
      </w:r>
    </w:p>
    <w:p>
      <w:pPr>
        <w:spacing w:before="160" w:after="20"/>
      </w:pPr>
      <w:r>
        <w:rPr>
          <w:rFonts w:ascii="Calibri" w:hAnsi="Calibri"/>
          <w:b/>
          <w:color w:val="003366"/>
          <w:sz w:val="22"/>
        </w:rPr>
        <w:t>Portaria n.º 148/2016, de 26 de maio (alterada pela Portaria n.º 146/2018)</w:t>
      </w:r>
    </w:p>
    <w:p>
      <w:pPr>
        <w:spacing w:before="0" w:after="20"/>
        <w:ind w:left="340"/>
      </w:pPr>
      <w:r>
        <w:rPr>
          <w:rFonts w:ascii="Calibri" w:hAnsi="Calibri"/>
          <w:b/>
          <w:color w:val="505050"/>
          <w:sz w:val="20"/>
        </w:rPr>
        <w:t xml:space="preserve">Ementa: </w:t>
      </w:r>
      <w:r>
        <w:rPr>
          <w:rFonts w:ascii="Calibri" w:hAnsi="Calibri"/>
          <w:color w:val="505050"/>
          <w:sz w:val="20"/>
        </w:rPr>
        <w:t>Estabelece a obrigatoriedade de registo dos cães que integrem matilhas de caça maior, bem como dos respetivos proprietários e matilheiros, prevendo as respetivas regras.</w:t>
      </w:r>
    </w:p>
    <w:p>
      <w:pPr>
        <w:spacing w:before="0" w:after="40"/>
        <w:ind w:left="340"/>
      </w:pPr>
      <w:r>
        <w:rPr>
          <w:rFonts w:ascii="Calibri" w:hAnsi="Calibri"/>
          <w:b/>
          <w:i/>
          <w:sz w:val="20"/>
        </w:rPr>
        <w:t xml:space="preserve">Relevância: </w:t>
      </w:r>
      <w:r>
        <w:rPr>
          <w:rFonts w:ascii="Calibri" w:hAnsi="Calibri"/>
          <w:i/>
          <w:sz w:val="20"/>
        </w:rPr>
        <w:t>Os cães de caça em matilha são abrangidos pelas obrigações de identificação do Regulamento. A compatibilidade entre o registo de matilhas e o sistema SIAC/Regulamento é um ponto de articulação que exige verificação.</w:t>
      </w:r>
    </w:p>
    <w:p/>
    <w:p>
      <w:pPr>
        <w:spacing w:before="280" w:after="80"/>
      </w:pPr>
      <w:r>
        <w:rPr>
          <w:rFonts w:ascii="Calibri" w:hAnsi="Calibri"/>
          <w:b/>
          <w:color w:val="787878"/>
          <w:sz w:val="26"/>
        </w:rPr>
        <w:t>LEGISLAÇÃO INDIRETAMENTE RELACIONADA</w:t>
      </w:r>
    </w:p>
    <w:p>
      <w:pPr>
        <w:spacing w:after="160"/>
      </w:pPr>
      <w:r>
        <w:rPr>
          <w:i/>
          <w:color w:val="646464"/>
          <w:sz w:val="20"/>
        </w:rPr>
        <w:t>Diplomas com incidência indireta no processo de implementação do Regulamento — enquadram o regime jurídico em que a implementação ocorre, sem regular diretamente animais de companhia.</w:t>
      </w:r>
    </w:p>
    <w:p>
      <w:pPr>
        <w:spacing w:before="160" w:after="20"/>
      </w:pPr>
      <w:r>
        <w:rPr>
          <w:rFonts w:ascii="Calibri" w:hAnsi="Calibri"/>
          <w:b/>
          <w:color w:val="646464"/>
          <w:sz w:val="22"/>
        </w:rPr>
        <w:t>Código Civil Português n.º (alterado pela Lei n.º 8/2017, de 3 de março)</w:t>
      </w:r>
    </w:p>
    <w:p>
      <w:pPr>
        <w:spacing w:before="0" w:after="20"/>
        <w:ind w:left="340"/>
      </w:pPr>
      <w:r>
        <w:rPr>
          <w:rFonts w:ascii="Calibri" w:hAnsi="Calibri"/>
          <w:b/>
          <w:color w:val="505050"/>
          <w:sz w:val="20"/>
        </w:rPr>
        <w:t xml:space="preserve">Ementa: </w:t>
      </w:r>
      <w:r>
        <w:rPr>
          <w:rFonts w:ascii="Calibri" w:hAnsi="Calibri"/>
          <w:color w:val="505050"/>
          <w:sz w:val="20"/>
        </w:rPr>
        <w:t>Reconhece os animais como seres vivos dotados de sensibilidade, com estatuto jurídico distinto das coisas. Regula responsabilidade civil por danos causados por animais (artigos 493.º e seguintes).</w:t>
      </w:r>
    </w:p>
    <w:p>
      <w:pPr>
        <w:spacing w:before="0" w:after="40"/>
        <w:ind w:left="340"/>
      </w:pPr>
      <w:r>
        <w:rPr>
          <w:rFonts w:ascii="Calibri" w:hAnsi="Calibri"/>
          <w:b/>
          <w:i/>
          <w:sz w:val="20"/>
        </w:rPr>
        <w:t xml:space="preserve">Relevância: </w:t>
      </w:r>
      <w:r>
        <w:rPr>
          <w:rFonts w:ascii="Calibri" w:hAnsi="Calibri"/>
          <w:i/>
          <w:sz w:val="20"/>
        </w:rPr>
        <w:t>A responsabilidade civil dos detentores — matéria com implicações na implementação do Regulamento — é enquadrada pelo Código Civil. O estatuto de não-coisa dos animais fundamenta juridicamente os deveres de cuidado e bem-estar do Regulamento.</w:t>
      </w:r>
    </w:p>
    <w:p>
      <w:pPr>
        <w:spacing w:before="160" w:after="20"/>
      </w:pPr>
      <w:r>
        <w:rPr>
          <w:rFonts w:ascii="Calibri" w:hAnsi="Calibri"/>
          <w:b/>
          <w:color w:val="646464"/>
          <w:sz w:val="22"/>
        </w:rPr>
        <w:t>Código Penal Português n.º (artigos 387.º a 389.º, com redação da Lei n.º 39/2020)</w:t>
      </w:r>
    </w:p>
    <w:p>
      <w:pPr>
        <w:spacing w:before="0" w:after="20"/>
        <w:ind w:left="340"/>
      </w:pPr>
      <w:r>
        <w:rPr>
          <w:rFonts w:ascii="Calibri" w:hAnsi="Calibri"/>
          <w:b/>
          <w:color w:val="505050"/>
          <w:sz w:val="20"/>
        </w:rPr>
        <w:t xml:space="preserve">Ementa: </w:t>
      </w:r>
      <w:r>
        <w:rPr>
          <w:rFonts w:ascii="Calibri" w:hAnsi="Calibri"/>
          <w:color w:val="505050"/>
          <w:sz w:val="20"/>
        </w:rPr>
        <w:t>Tipifica os crimes de maus-tratos a animais de companhia, abandono de animais de companhia e morte de animal de companhia alheio. Prevê penas de prisão e acessórias de proibição de detenção.</w:t>
      </w:r>
    </w:p>
    <w:p>
      <w:pPr>
        <w:spacing w:before="0" w:after="40"/>
        <w:ind w:left="340"/>
      </w:pPr>
      <w:r>
        <w:rPr>
          <w:rFonts w:ascii="Calibri" w:hAnsi="Calibri"/>
          <w:b/>
          <w:i/>
          <w:sz w:val="20"/>
        </w:rPr>
        <w:t xml:space="preserve">Relevância: </w:t>
      </w:r>
      <w:r>
        <w:rPr>
          <w:rFonts w:ascii="Calibri" w:hAnsi="Calibri"/>
          <w:i/>
          <w:sz w:val="20"/>
        </w:rPr>
        <w:t>O regime sancionatório penal é complementar ao regime contraordenacional do Regulamento. A implementação deve assegurar que os novos ilícitos europeus se articulam coerentemente com os tipos criminais já existentes no Código Penal.</w:t>
      </w:r>
    </w:p>
    <w:p>
      <w:pPr>
        <w:spacing w:before="160" w:after="20"/>
      </w:pPr>
      <w:r>
        <w:rPr>
          <w:rFonts w:ascii="Calibri" w:hAnsi="Calibri"/>
          <w:b/>
          <w:color w:val="646464"/>
          <w:sz w:val="22"/>
        </w:rPr>
        <w:t>Regulamento (UE) 2016/679 n.º de 27 de abril de 2016 (RGPD / GDPR)</w:t>
      </w:r>
    </w:p>
    <w:p>
      <w:pPr>
        <w:spacing w:before="0" w:after="20"/>
        <w:ind w:left="340"/>
      </w:pPr>
      <w:r>
        <w:rPr>
          <w:rFonts w:ascii="Calibri" w:hAnsi="Calibri"/>
          <w:b/>
          <w:color w:val="505050"/>
          <w:sz w:val="20"/>
        </w:rPr>
        <w:t xml:space="preserve">Ementa: </w:t>
      </w:r>
      <w:r>
        <w:rPr>
          <w:rFonts w:ascii="Calibri" w:hAnsi="Calibri"/>
          <w:color w:val="505050"/>
          <w:sz w:val="20"/>
        </w:rPr>
        <w:t>Relativo à proteção das pessoas singulares no que diz respeito ao tratamento de dados pessoais e à livre circulação desses dados.</w:t>
      </w:r>
    </w:p>
    <w:p>
      <w:pPr>
        <w:spacing w:before="0" w:after="40"/>
        <w:ind w:left="340"/>
      </w:pPr>
      <w:r>
        <w:rPr>
          <w:rFonts w:ascii="Calibri" w:hAnsi="Calibri"/>
          <w:b/>
          <w:i/>
          <w:sz w:val="20"/>
        </w:rPr>
        <w:t xml:space="preserve">Relevância: </w:t>
      </w:r>
      <w:r>
        <w:rPr>
          <w:rFonts w:ascii="Calibri" w:hAnsi="Calibri"/>
          <w:i/>
          <w:sz w:val="20"/>
        </w:rPr>
        <w:t>O Sistema de Informação de Animais de Companhia (SIAC) e qualquer base de dados de registo criada ou adaptada para dar cumprimento ao Regulamento envolve tratamento de dados pessoais dos detentores, com sujeição ao RGPD.</w:t>
      </w:r>
    </w:p>
    <w:p>
      <w:pPr>
        <w:spacing w:before="160" w:after="20"/>
      </w:pPr>
      <w:r>
        <w:rPr>
          <w:rFonts w:ascii="Calibri" w:hAnsi="Calibri"/>
          <w:b/>
          <w:color w:val="646464"/>
          <w:sz w:val="22"/>
        </w:rPr>
        <w:t>Lei n.º 24/96, de 31 de julho (Lei de Defesa do Consumidor, com alterações subsequentes)</w:t>
      </w:r>
    </w:p>
    <w:p>
      <w:pPr>
        <w:spacing w:before="0" w:after="20"/>
        <w:ind w:left="340"/>
      </w:pPr>
      <w:r>
        <w:rPr>
          <w:rFonts w:ascii="Calibri" w:hAnsi="Calibri"/>
          <w:b/>
          <w:color w:val="505050"/>
          <w:sz w:val="20"/>
        </w:rPr>
        <w:t xml:space="preserve">Ementa: </w:t>
      </w:r>
      <w:r>
        <w:rPr>
          <w:rFonts w:ascii="Calibri" w:hAnsi="Calibri"/>
          <w:color w:val="505050"/>
          <w:sz w:val="20"/>
        </w:rPr>
        <w:t>Estabelece o regime legal aplicável à defesa dos consumidores.</w:t>
      </w:r>
    </w:p>
    <w:p>
      <w:pPr>
        <w:spacing w:before="0" w:after="40"/>
        <w:ind w:left="340"/>
      </w:pPr>
      <w:r>
        <w:rPr>
          <w:rFonts w:ascii="Calibri" w:hAnsi="Calibri"/>
          <w:b/>
          <w:i/>
          <w:sz w:val="20"/>
        </w:rPr>
        <w:t xml:space="preserve">Relevância: </w:t>
      </w:r>
      <w:r>
        <w:rPr>
          <w:rFonts w:ascii="Calibri" w:hAnsi="Calibri"/>
          <w:i/>
          <w:sz w:val="20"/>
        </w:rPr>
        <w:t>O comércio de animais de companhia — incluindo online — envolve relações de consumo. O Regulamento, ao regular requisitos de informação e publicidade na venda de animais, interage com os direitos dos consumidores enquadrados por esta Lei.</w:t>
      </w:r>
    </w:p>
    <w:p>
      <w:pPr>
        <w:spacing w:before="160" w:after="20"/>
      </w:pPr>
      <w:r>
        <w:rPr>
          <w:rFonts w:ascii="Calibri" w:hAnsi="Calibri"/>
          <w:b/>
          <w:color w:val="646464"/>
          <w:sz w:val="22"/>
        </w:rPr>
        <w:t>Decreto Regulamentar n.º 3/2021, de 25 de junho</w:t>
      </w:r>
    </w:p>
    <w:p>
      <w:pPr>
        <w:spacing w:before="0" w:after="20"/>
        <w:ind w:left="340"/>
      </w:pPr>
      <w:r>
        <w:rPr>
          <w:rFonts w:ascii="Calibri" w:hAnsi="Calibri"/>
          <w:b/>
          <w:color w:val="505050"/>
          <w:sz w:val="20"/>
        </w:rPr>
        <w:t xml:space="preserve">Ementa: </w:t>
      </w:r>
      <w:r>
        <w:rPr>
          <w:rFonts w:ascii="Calibri" w:hAnsi="Calibri"/>
          <w:color w:val="505050"/>
          <w:sz w:val="20"/>
        </w:rPr>
        <w:t>Aprova os estatutos do Instituto Português para os Direitos dos Animais (IPDA), entidade que sucede ao Provedor do Animal, com missão de promoção e defesa do bem-estar e dos direitos dos animais.</w:t>
      </w:r>
    </w:p>
    <w:p>
      <w:pPr>
        <w:spacing w:before="0" w:after="40"/>
        <w:ind w:left="340"/>
      </w:pPr>
      <w:r>
        <w:rPr>
          <w:rFonts w:ascii="Calibri" w:hAnsi="Calibri"/>
          <w:b/>
          <w:i/>
          <w:sz w:val="20"/>
        </w:rPr>
        <w:t xml:space="preserve">Relevância: </w:t>
      </w:r>
      <w:r>
        <w:rPr>
          <w:rFonts w:ascii="Calibri" w:hAnsi="Calibri"/>
          <w:i/>
          <w:sz w:val="20"/>
        </w:rPr>
        <w:t>A entidade fiscalizadora nacional para os direitos dos animais tem relevância institucional direta no processo de implementação do Regulamento — designadamente na monitorização do cumprimento e na interação com as autoridades europeias.</w:t>
      </w:r>
    </w:p>
    <w:p>
      <w:pPr>
        <w:spacing w:before="160" w:after="20"/>
      </w:pPr>
      <w:r>
        <w:rPr>
          <w:rFonts w:ascii="Calibri" w:hAnsi="Calibri"/>
          <w:b/>
          <w:color w:val="646464"/>
          <w:sz w:val="22"/>
        </w:rPr>
        <w:t>Decreto Legislativo Regional n.º 12/2016/A, de 8 de julho (Região Autónoma dos Açores, com alterações)</w:t>
      </w:r>
    </w:p>
    <w:p>
      <w:pPr>
        <w:spacing w:before="0" w:after="20"/>
        <w:ind w:left="340"/>
      </w:pPr>
      <w:r>
        <w:rPr>
          <w:rFonts w:ascii="Calibri" w:hAnsi="Calibri"/>
          <w:b/>
          <w:color w:val="505050"/>
          <w:sz w:val="20"/>
        </w:rPr>
        <w:t xml:space="preserve">Ementa: </w:t>
      </w:r>
      <w:r>
        <w:rPr>
          <w:rFonts w:ascii="Calibri" w:hAnsi="Calibri"/>
          <w:color w:val="505050"/>
          <w:sz w:val="20"/>
        </w:rPr>
        <w:t>Estabelece medidas de proteção de animais de companhia e errantes na Região Autónoma dos Açores, proibindo o abate e a eutanásia e instituindo programa de esterilização.</w:t>
      </w:r>
    </w:p>
    <w:p>
      <w:pPr>
        <w:spacing w:before="0" w:after="40"/>
        <w:ind w:left="340"/>
      </w:pPr>
      <w:r>
        <w:rPr>
          <w:rFonts w:ascii="Calibri" w:hAnsi="Calibri"/>
          <w:b/>
          <w:i/>
          <w:sz w:val="20"/>
        </w:rPr>
        <w:t xml:space="preserve">Relevância: </w:t>
      </w:r>
      <w:r>
        <w:rPr>
          <w:rFonts w:ascii="Calibri" w:hAnsi="Calibri"/>
          <w:i/>
          <w:sz w:val="20"/>
        </w:rPr>
        <w:t>O Regulamento, sendo de aplicação direta em todo o território nacional incluindo regiões autónomas, deve ser articulado com a legislação regional. As divergências entre regimes regional e nacional criam um nível adicional de complexidade na implementação.</w:t>
      </w:r>
    </w:p>
    <w:p/>
    <w:p>
      <w:pPr>
        <w:spacing w:before="200"/>
      </w:pPr>
      <w:r>
        <w:rPr>
          <w:i/>
          <w:color w:val="828282"/>
          <w:sz w:val="18"/>
        </w:rPr>
        <w:t>Nota metodológica: este inventário foi compilado a partir de fontes legislativas oficiais (dre.pt, DGAV, ICNF, pgdlisboa.pt) com referência às versões consolidadas disponíveis à data de março de 2026. Não inclui legislação regional autónoma da Madeira, regulamentos municipais, nem legislação sectorial de medicina veterinária, que constitui um terceiro nível de complexidade normativa não aqui abordado.</w:t>
      </w:r>
    </w:p>
    <w:p>
      <w:pPr>
        <w:jc w:val="right"/>
      </w:pPr>
      <w:r>
        <w:rPr>
          <w:color w:val="828282"/>
          <w:sz w:val="18"/>
        </w:rPr>
        <w:t>Compilado: 22 de março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