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67EEA"/>
        </w:rPr>
        <w:t>Disposições Totalmente Novas</w:t>
      </w:r>
    </w:p>
    <w:p>
      <w:pPr>
        <w:pStyle w:val="Heading2"/>
        <w:jc w:val="center"/>
      </w:pPr>
      <w:r>
        <w:t>Regulamento (UE) 2023/0447 sobre bem-estar de cães e gatos</w:t>
      </w:r>
    </w:p>
    <w:p/>
    <w:p>
      <w:pPr/>
      <w:r>
        <w:t>Análise de artigos sem correspondência na legislação portuguesa vigente</w:t>
        <w:br/>
        <w:t>(@codigo, @rgbeac, DL 276/2001, DL 82/2019, Lei 27/2016)</w:t>
      </w:r>
    </w:p>
    <w:p/>
    <w:p>
      <w:pPr>
        <w:pStyle w:val="Heading2"/>
      </w:pPr>
      <w:r>
        <w:t>Índice de Artigos Novos</w:t>
      </w:r>
    </w:p>
    <w:p>
      <w:pPr>
        <w:pStyle w:val="ListBullet"/>
      </w:pPr>
      <w:r>
        <w:t>Art. 1: Objeto</w:t>
      </w:r>
    </w:p>
    <w:p>
      <w:pPr>
        <w:pStyle w:val="ListBullet"/>
      </w:pPr>
      <w:r>
        <w:t>Art. 2: Âmbito de Aplicação Material</w:t>
      </w:r>
    </w:p>
    <w:p>
      <w:pPr>
        <w:pStyle w:val="ListBullet"/>
      </w:pPr>
      <w:r>
        <w:t>Art. 3: Âmbito de Aplicação Pessoal</w:t>
      </w:r>
    </w:p>
    <w:p>
      <w:pPr>
        <w:pStyle w:val="ListBullet"/>
      </w:pPr>
      <w:r>
        <w:t>Art. 4: Definições</w:t>
      </w:r>
    </w:p>
    <w:p>
      <w:r>
        <w:br w:type="page"/>
      </w:r>
    </w:p>
    <w:p>
      <w:pPr>
        <w:pStyle w:val="Heading1"/>
      </w:pPr>
      <w:r>
        <w:rPr>
          <w:color w:val="667EEA"/>
        </w:rPr>
        <w:t>Artigo 1: Objeto</w:t>
      </w:r>
    </w:p>
    <w:tbl>
      <w:tblPr>
        <w:tblStyle w:val="LightGrid-Accent1"/>
        <w:tblW w:type="auto" w:w="0"/>
        <w:tblLook w:firstColumn="1" w:firstRow="1" w:lastColumn="0" w:lastRow="0" w:noHBand="0" w:noVBand="1" w:val="04A0"/>
      </w:tblPr>
      <w:tblGrid>
        <w:gridCol w:w="4320"/>
        <w:gridCol w:w="4320"/>
      </w:tblGrid>
      <w:tr>
        <w:tc>
          <w:tcPr>
            <w:tcW w:type="dxa" w:w="4320"/>
            <w:shd w:fill="E8E8FF"/>
          </w:tcPr>
          <w:p>
            <w:r>
              <w:t>Tema</w:t>
            </w:r>
          </w:p>
        </w:tc>
        <w:tc>
          <w:tcPr>
            <w:tcW w:type="dxa" w:w="4320"/>
          </w:tcPr>
          <w:p>
            <w:r>
              <w:t>Objeto e Escopo</w:t>
            </w:r>
          </w:p>
        </w:tc>
      </w:tr>
      <w:tr>
        <w:tc>
          <w:tcPr>
            <w:tcW w:type="dxa" w:w="4320"/>
            <w:shd w:fill="E8E8FF"/>
          </w:tcPr>
          <w:p>
            <w:r>
              <w:t>Título (EN)</w:t>
            </w:r>
          </w:p>
        </w:tc>
        <w:tc>
          <w:tcPr>
            <w:tcW w:type="dxa" w:w="4320"/>
          </w:tcPr>
          <w:p>
            <w:r>
              <w:t>Subject matter</w:t>
            </w:r>
          </w:p>
        </w:tc>
      </w:tr>
      <w:tr>
        <w:tc>
          <w:tcPr>
            <w:tcW w:type="dxa" w:w="4320"/>
            <w:shd w:fill="E8E8FF"/>
          </w:tcPr>
          <w:p>
            <w:r>
              <w:t>Classificação</w:t>
            </w:r>
          </w:p>
        </w:tc>
        <w:tc>
          <w:tcPr>
            <w:tcW w:type="dxa" w:w="4320"/>
          </w:tcPr>
          <w:p>
            <w:r>
              <w:t>TOTALMENTE NOVO — Sem correspondência em legislação portuguesa</w:t>
            </w:r>
          </w:p>
        </w:tc>
      </w:tr>
    </w:tbl>
    <w:p/>
    <w:p>
      <w:pPr>
        <w:pStyle w:val="Heading3"/>
      </w:pPr>
      <w:r>
        <w:t>Texto Original (Inglês)</w:t>
      </w:r>
    </w:p>
    <w:p>
      <w:r>
        <w:rPr>
          <w:i/>
          <w:color w:val="646464"/>
        </w:rPr>
        <w:t>This Regulation lays down:</w:t>
        <w:br/>
        <w:t>(a) minimum requirements for the welfare of dogs and cats bred or kept in establishments or placed on the market of the Union; and</w:t>
        <w:br/>
        <w:t>(b) rules on the traceability of dogs and cats.</w:t>
      </w:r>
    </w:p>
    <w:p/>
    <w:p>
      <w:pPr>
        <w:pStyle w:val="Heading3"/>
      </w:pPr>
      <w:r>
        <w:t>Tradução (Português)</w:t>
      </w:r>
    </w:p>
    <w:p>
      <w:r>
        <w:t>O presente regulamento define os requisitos mínimos para:</w:t>
        <w:br/>
        <w:t>a) O bem-estar dos cães e gatos criados ou detidos em estabelecimentos ou colocados no mercado da União; e</w:t>
        <w:br/>
        <w:t>b) A rastreabilidade dos cães e gatos.</w:t>
      </w:r>
    </w:p>
    <w:p/>
    <w:p>
      <w:pPr>
        <w:pStyle w:val="Heading3"/>
      </w:pPr>
      <w:r>
        <w:t>Análise da Disposição</w:t>
      </w:r>
    </w:p>
    <w:p>
      <w:r>
        <w:t>Este artigo é completamente novo no ordenamento jurídico português. Define o objeto central do Regulamento Europeu, que tem dois pilares:</w:t>
        <w:br/>
        <w:br/>
        <w:t>1. BEM-ESTAR: estabelece requisitos mínimos para o bem-estar de cães e gatos em qualquer estabelecimento ou quando colocados no mercado europeu.</w:t>
        <w:br/>
        <w:br/>
        <w:t>2. RASTREABILIDADE: institui obrigações de rastreamento de cães e gatos ao longo da cadeia de colocação no mercado.</w:t>
        <w:br/>
        <w:br/>
        <w:t>A legislação portuguesa vigente (DL 276/2001, DL 82/2019, Lei 27/2016) e as propostas (@codigo, @rgbeac) não definem explicitamente estes dois eixos centrais como objeto de regulação integrada.</w:t>
      </w:r>
    </w:p>
    <w:p/>
    <w:p>
      <w:pPr>
        <w:pStyle w:val="Heading3"/>
      </w:pPr>
      <w:r>
        <w:t>Impacto para Portugal</w:t>
      </w:r>
    </w:p>
    <w:p>
      <w:r>
        <w:rPr>
          <w:b/>
          <w:color w:val="C85050"/>
        </w:rPr>
        <w:t>Obrigação de alinhamento integral do regime nacional com estes dois objetivos.</w:t>
      </w:r>
    </w:p>
    <w:p>
      <w:r>
        <w:br w:type="page"/>
      </w:r>
    </w:p>
    <w:p>
      <w:pPr>
        <w:pStyle w:val="Heading1"/>
      </w:pPr>
      <w:r>
        <w:rPr>
          <w:color w:val="667EEA"/>
        </w:rPr>
        <w:t>Artigo 2: Âmbito de Aplicação Material</w:t>
      </w:r>
    </w:p>
    <w:tbl>
      <w:tblPr>
        <w:tblStyle w:val="LightGrid-Accent1"/>
        <w:tblW w:type="auto" w:w="0"/>
        <w:tblLook w:firstColumn="1" w:firstRow="1" w:lastColumn="0" w:lastRow="0" w:noHBand="0" w:noVBand="1" w:val="04A0"/>
      </w:tblPr>
      <w:tblGrid>
        <w:gridCol w:w="4320"/>
        <w:gridCol w:w="4320"/>
      </w:tblGrid>
      <w:tr>
        <w:tc>
          <w:tcPr>
            <w:tcW w:type="dxa" w:w="4320"/>
            <w:shd w:fill="E8E8FF"/>
          </w:tcPr>
          <w:p>
            <w:r>
              <w:t>Tema</w:t>
            </w:r>
          </w:p>
        </w:tc>
        <w:tc>
          <w:tcPr>
            <w:tcW w:type="dxa" w:w="4320"/>
          </w:tcPr>
          <w:p>
            <w:r>
              <w:t>Aplicabilidade Territorial e Material</w:t>
            </w:r>
          </w:p>
        </w:tc>
      </w:tr>
      <w:tr>
        <w:tc>
          <w:tcPr>
            <w:tcW w:type="dxa" w:w="4320"/>
            <w:shd w:fill="E8E8FF"/>
          </w:tcPr>
          <w:p>
            <w:r>
              <w:t>Título (EN)</w:t>
            </w:r>
          </w:p>
        </w:tc>
        <w:tc>
          <w:tcPr>
            <w:tcW w:type="dxa" w:w="4320"/>
          </w:tcPr>
          <w:p>
            <w:r>
              <w:t>Material scope</w:t>
            </w:r>
          </w:p>
        </w:tc>
      </w:tr>
      <w:tr>
        <w:tc>
          <w:tcPr>
            <w:tcW w:type="dxa" w:w="4320"/>
            <w:shd w:fill="E8E8FF"/>
          </w:tcPr>
          <w:p>
            <w:r>
              <w:t>Classificação</w:t>
            </w:r>
          </w:p>
        </w:tc>
        <w:tc>
          <w:tcPr>
            <w:tcW w:type="dxa" w:w="4320"/>
          </w:tcPr>
          <w:p>
            <w:r>
              <w:t>TOTALMENTE NOVO — Sem correspondência em legislação portuguesa</w:t>
            </w:r>
          </w:p>
        </w:tc>
      </w:tr>
    </w:tbl>
    <w:p/>
    <w:p>
      <w:pPr>
        <w:pStyle w:val="Heading3"/>
      </w:pPr>
      <w:r>
        <w:t>Texto Original (Inglês)</w:t>
      </w:r>
    </w:p>
    <w:p>
      <w:r>
        <w:rPr>
          <w:i/>
          <w:color w:val="646464"/>
        </w:rPr>
        <w:t>1. This Regulation applies to the breeding, keeping, tracing, placing on the market and entry into the Union of dogs and cats.</w:t>
        <w:br/>
        <w:t>2. This Regulation does not apply to the breeding, keeping or placing on the market or entry into the Union of dogs or cats intended or used for scientific purposes or for clinical trials required for the marketing authorisation of veterinary medicinal products.</w:t>
      </w:r>
    </w:p>
    <w:p/>
    <w:p>
      <w:pPr>
        <w:pStyle w:val="Heading3"/>
      </w:pPr>
      <w:r>
        <w:t>Tradução (Português)</w:t>
      </w:r>
    </w:p>
    <w:p>
      <w:r>
        <w:t>1. O presente regulamento é aplicável à criação, à detenção, à rastreabilidade, à colocação no mercado e à entrada na União de cães e gatos.</w:t>
        <w:br/>
        <w:t>2. O presente regulamento não é aplicável à criação, à detenção, à colocação no mercado ou à entrada na União de cães ou gatos destinados ou usados para fins científicos ou para ensaios clínicos exigidos para efeitos da autorização de introdução no mercado de medicamentos veterinários.</w:t>
      </w:r>
    </w:p>
    <w:p/>
    <w:p>
      <w:pPr>
        <w:pStyle w:val="Heading3"/>
      </w:pPr>
      <w:r>
        <w:t>Análise da Disposição</w:t>
      </w:r>
    </w:p>
    <w:p>
      <w:r>
        <w:t>Define o âmbito material do Regulamento. Aplica-se a TODA a atividade relativa a cães e gatos: criação, detenção, rastreio e colocação no mercado.</w:t>
        <w:br/>
        <w:br/>
        <w:t>EXCEÇÃO: cães e gatos para fins científicos ou ensaios clínicos de medicamentos veterinários (não se aplica o Regulamento).</w:t>
        <w:br/>
        <w:br/>
        <w:t>A legislação portuguesa não define explicitamente um âmbito material tão abrangente e integrado. O DL 276/2001 e DL 82/2019 tratam aspetos específicos, mas não estabelecem um regime unitário de aplicação a todas as atividades mencionadas.</w:t>
      </w:r>
    </w:p>
    <w:p/>
    <w:p>
      <w:pPr>
        <w:pStyle w:val="Heading3"/>
      </w:pPr>
      <w:r>
        <w:t>Impacto para Portugal</w:t>
      </w:r>
    </w:p>
    <w:p>
      <w:r>
        <w:rPr>
          <w:b/>
          <w:color w:val="C85050"/>
        </w:rPr>
        <w:t>Necessidade de integração regulatória - o Regulamento tem aplicação DIRETA a todas as atividades com cães/gatos, mesmo que não exista transposição nacional.</w:t>
      </w:r>
    </w:p>
    <w:p>
      <w:r>
        <w:br w:type="page"/>
      </w:r>
    </w:p>
    <w:p>
      <w:pPr>
        <w:pStyle w:val="Heading1"/>
      </w:pPr>
      <w:r>
        <w:rPr>
          <w:color w:val="667EEA"/>
        </w:rPr>
        <w:t>Artigo 3: Âmbito de Aplicação Pessoal</w:t>
      </w:r>
    </w:p>
    <w:tbl>
      <w:tblPr>
        <w:tblStyle w:val="LightGrid-Accent1"/>
        <w:tblW w:type="auto" w:w="0"/>
        <w:tblLook w:firstColumn="1" w:firstRow="1" w:lastColumn="0" w:lastRow="0" w:noHBand="0" w:noVBand="1" w:val="04A0"/>
      </w:tblPr>
      <w:tblGrid>
        <w:gridCol w:w="4320"/>
        <w:gridCol w:w="4320"/>
      </w:tblGrid>
      <w:tr>
        <w:tc>
          <w:tcPr>
            <w:tcW w:type="dxa" w:w="4320"/>
            <w:shd w:fill="E8E8FF"/>
          </w:tcPr>
          <w:p>
            <w:r>
              <w:t>Tema</w:t>
            </w:r>
          </w:p>
        </w:tc>
        <w:tc>
          <w:tcPr>
            <w:tcW w:type="dxa" w:w="4320"/>
          </w:tcPr>
          <w:p>
            <w:r>
              <w:t>Sujeitos Obrigados</w:t>
            </w:r>
          </w:p>
        </w:tc>
      </w:tr>
      <w:tr>
        <w:tc>
          <w:tcPr>
            <w:tcW w:type="dxa" w:w="4320"/>
            <w:shd w:fill="E8E8FF"/>
          </w:tcPr>
          <w:p>
            <w:r>
              <w:t>Título (EN)</w:t>
            </w:r>
          </w:p>
        </w:tc>
        <w:tc>
          <w:tcPr>
            <w:tcW w:type="dxa" w:w="4320"/>
          </w:tcPr>
          <w:p>
            <w:r>
              <w:t>Personal scope</w:t>
            </w:r>
          </w:p>
        </w:tc>
      </w:tr>
      <w:tr>
        <w:tc>
          <w:tcPr>
            <w:tcW w:type="dxa" w:w="4320"/>
            <w:shd w:fill="E8E8FF"/>
          </w:tcPr>
          <w:p>
            <w:r>
              <w:t>Classificação</w:t>
            </w:r>
          </w:p>
        </w:tc>
        <w:tc>
          <w:tcPr>
            <w:tcW w:type="dxa" w:w="4320"/>
          </w:tcPr>
          <w:p>
            <w:r>
              <w:t>TOTALMENTE NOVO — Sem correspondência em legislação portuguesa</w:t>
            </w:r>
          </w:p>
        </w:tc>
      </w:tr>
    </w:tbl>
    <w:p/>
    <w:p>
      <w:pPr>
        <w:pStyle w:val="Heading3"/>
      </w:pPr>
      <w:r>
        <w:t>Texto Original (Inglês)</w:t>
      </w:r>
    </w:p>
    <w:p>
      <w:r>
        <w:rPr>
          <w:i/>
          <w:color w:val="646464"/>
        </w:rPr>
        <w:t>1. Chapter II of this Regulation applies to all operators.</w:t>
        <w:br/>
        <w:t>2. Chapter III of this Regulation applies to all natural and legal persons owning dogs or cats in the Union.</w:t>
        <w:br/>
        <w:t>3. Chapter IV applies to all natural and legal persons who bring dogs or cats into the Union.</w:t>
        <w:br/>
        <w:t>4. This Regulation does not apply to farmers offering refuge on their holding to free-roaming stray cats that are useful for pest control, where those farmers are not operators and do not place those cats on the market.</w:t>
      </w:r>
    </w:p>
    <w:p/>
    <w:p>
      <w:pPr>
        <w:pStyle w:val="Heading3"/>
      </w:pPr>
      <w:r>
        <w:t>Tradução (Português)</w:t>
      </w:r>
    </w:p>
    <w:p>
      <w:r>
        <w:t>1. O capítulo II é aplicável a todos os operadores.</w:t>
        <w:br/>
        <w:t>2. O capítulo III é aplicável a todas as pessoas singulares e coletivas proprietárias de cães ou gatos na União.</w:t>
        <w:br/>
        <w:t>3. O capítulo IV é aplicável a todas as pessoas singulares e coletivas que introduzam cães ou gatos na União.</w:t>
        <w:br/>
        <w:t>4. O presente regulamento não é aplicável a agricultores que, na sua exploração, ofereçam refúgio a gatos errantes que sejam úteis para o controlo de pragas, desde que tais agricultores não sejam operadores e não coloquem esses gatos no mercado.</w:t>
      </w:r>
    </w:p>
    <w:p/>
    <w:p>
      <w:pPr>
        <w:pStyle w:val="Heading3"/>
      </w:pPr>
      <w:r>
        <w:t>Análise da Disposição</w:t>
      </w:r>
    </w:p>
    <w:p>
      <w:r>
        <w:t>Define QUEM está obrigado pelo Regulamento:</w:t>
        <w:br/>
        <w:br/>
        <w:t>- CAPÍTULO II (Operadores): criadores, vendedores, abrigos — pessoas que colocam cães/gatos no mercado</w:t>
        <w:br/>
        <w:t>- CAPÍTULO III (Proprietários): todos os que possuem cães/gatos (responsabilidade do proprietário)</w:t>
        <w:br/>
        <w:t>- CAPÍTULO IV (Importadores): quem traz cães/gatos para a UE</w:t>
        <w:br/>
        <w:br/>
        <w:t>EXCEÇÃO: agricultores que acolhem gatos errantes para controlo de pragas (desde que não os comercializem).</w:t>
        <w:br/>
        <w:br/>
        <w:t>A legislação portuguesa não diferencia de forma explícita entre operadores, proprietários e importadores, nem estabelece obrigações segmentadas por tipo de sujeito.</w:t>
      </w:r>
    </w:p>
    <w:p/>
    <w:p>
      <w:pPr>
        <w:pStyle w:val="Heading3"/>
      </w:pPr>
      <w:r>
        <w:t>Impacto para Portugal</w:t>
      </w:r>
    </w:p>
    <w:p>
      <w:r>
        <w:rPr>
          <w:b/>
          <w:color w:val="C85050"/>
        </w:rPr>
        <w:t>Alargamento da esfera de obrigações para TODOS os proprietários de cães/gatos, não apenas criadores/vendedores.</w:t>
      </w:r>
    </w:p>
    <w:p>
      <w:r>
        <w:br w:type="page"/>
      </w:r>
    </w:p>
    <w:p>
      <w:pPr>
        <w:pStyle w:val="Heading1"/>
      </w:pPr>
      <w:r>
        <w:rPr>
          <w:color w:val="667EEA"/>
        </w:rPr>
        <w:t>Artigo 4: Definições</w:t>
      </w:r>
    </w:p>
    <w:tbl>
      <w:tblPr>
        <w:tblStyle w:val="LightGrid-Accent1"/>
        <w:tblW w:type="auto" w:w="0"/>
        <w:tblLook w:firstColumn="1" w:firstRow="1" w:lastColumn="0" w:lastRow="0" w:noHBand="0" w:noVBand="1" w:val="04A0"/>
      </w:tblPr>
      <w:tblGrid>
        <w:gridCol w:w="4320"/>
        <w:gridCol w:w="4320"/>
      </w:tblGrid>
      <w:tr>
        <w:tc>
          <w:tcPr>
            <w:tcW w:type="dxa" w:w="4320"/>
            <w:shd w:fill="E8E8FF"/>
          </w:tcPr>
          <w:p>
            <w:r>
              <w:t>Tema</w:t>
            </w:r>
          </w:p>
        </w:tc>
        <w:tc>
          <w:tcPr>
            <w:tcW w:type="dxa" w:w="4320"/>
          </w:tcPr>
          <w:p>
            <w:r>
              <w:t>Conceitos-Chave</w:t>
            </w:r>
          </w:p>
        </w:tc>
      </w:tr>
      <w:tr>
        <w:tc>
          <w:tcPr>
            <w:tcW w:type="dxa" w:w="4320"/>
            <w:shd w:fill="E8E8FF"/>
          </w:tcPr>
          <w:p>
            <w:r>
              <w:t>Título (EN)</w:t>
            </w:r>
          </w:p>
        </w:tc>
        <w:tc>
          <w:tcPr>
            <w:tcW w:type="dxa" w:w="4320"/>
          </w:tcPr>
          <w:p>
            <w:r>
              <w:t>Definitions</w:t>
            </w:r>
          </w:p>
        </w:tc>
      </w:tr>
      <w:tr>
        <w:tc>
          <w:tcPr>
            <w:tcW w:type="dxa" w:w="4320"/>
            <w:shd w:fill="E8E8FF"/>
          </w:tcPr>
          <w:p>
            <w:r>
              <w:t>Classificação</w:t>
            </w:r>
          </w:p>
        </w:tc>
        <w:tc>
          <w:tcPr>
            <w:tcW w:type="dxa" w:w="4320"/>
          </w:tcPr>
          <w:p>
            <w:r>
              <w:t>TOTALMENTE NOVO — Sem correspondência em legislação portuguesa</w:t>
            </w:r>
          </w:p>
        </w:tc>
      </w:tr>
    </w:tbl>
    <w:p/>
    <w:p>
      <w:pPr>
        <w:pStyle w:val="Heading3"/>
      </w:pPr>
      <w:r>
        <w:t>Texto Original (Inglês)</w:t>
      </w:r>
    </w:p>
    <w:p>
      <w:r>
        <w:rPr>
          <w:i/>
          <w:color w:val="646464"/>
        </w:rPr>
        <w:t>For the purposes of this Regulation, the following definitions apply:</w:t>
        <w:br/>
        <w:t>1. 'dog' means an animal of the species Canis lupus familiaris;</w:t>
        <w:br/>
        <w:t>2. 'cat' means an animal of the species Felis silvestris catus;</w:t>
        <w:br/>
        <w:t>3. 'welfare of dogs and cats' means the physical and mental state of a dog or a cat, which receives appropriate nutrition, is kept in an appropriate environment, is in good health, displays appropriate behaviour, and has an overall a positive mental experience of life;</w:t>
        <w:br/>
        <w:t>[... 36 mais definições, total de 39 conceitos]</w:t>
      </w:r>
    </w:p>
    <w:p/>
    <w:p>
      <w:pPr>
        <w:pStyle w:val="Heading3"/>
      </w:pPr>
      <w:r>
        <w:t>Tradução (Português)</w:t>
      </w:r>
    </w:p>
    <w:p>
      <w:r>
        <w:t>Para efeitos do presente regulamento, entende-se por:</w:t>
        <w:br/>
        <w:t>1) «Cão», um animal da espécie Canis lupus familiaris;</w:t>
        <w:br/>
        <w:t>2) «Gato», um animal da espécie Felis silvestris catus;</w:t>
        <w:br/>
        <w:t>3) «Bem-estar dos cães e gatos», o estado físico e mental de um cão ou de um gato que recebe alimentação adequada, é detido num ambiente adequado, é mantido em boa saúde, exibe um comportamento adequado e, no geral, tem uma experiência mental positiva da vida;</w:t>
        <w:br/>
        <w:t>[... 36 mais definições, total de 39 conceitos]</w:t>
      </w:r>
    </w:p>
    <w:p/>
    <w:p>
      <w:pPr>
        <w:pStyle w:val="Heading3"/>
      </w:pPr>
      <w:r>
        <w:t>Análise da Disposição</w:t>
      </w:r>
    </w:p>
    <w:p>
      <w:r>
        <w:t>Define 39 conceitos fundamentais que estruturam toda a regulação. EXEMPLOS CHAVE:</w:t>
        <w:br/>
        <w:br/>
        <w:t>- "Bem-estar": definição holística (nutrição, ambiente, saúde, comportamento, experiência mental positiva)</w:t>
        <w:br/>
        <w:t>- "Operador": pessoa singular/coletiva que coloca cães/gatos no mercado e é responsável por um estabelecimento</w:t>
        <w:br/>
        <w:t>- "Estabelecimento": criação, venda, abrigo, lar de acolhimento</w:t>
        <w:br/>
        <w:t>- "Lar de acolhimento" (foster home): conceito novo — alojamento privado responsabilizado por operador</w:t>
        <w:br/>
        <w:t>- "Amarração" (tethering): ato de prender um cão/gato a um ponto fixo</w:t>
        <w:br/>
        <w:t>- "Mutilação": intervenção cirúrgica por razões não terapêuticas (inclui orelhas, cauda, garras)</w:t>
        <w:br/>
        <w:t>- "Propriedade responsável": conjunto de comportamentos do proprietário coerentes com bem-estar</w:t>
        <w:br/>
        <w:br/>
        <w:t>NOVIDADE: a legislação portuguesa vigente NÃO possui definições sistemáticas destes 39 conceitos. Cada diploma histórico usa terminologia diferente ou deixa conceitos implícitos.</w:t>
      </w:r>
    </w:p>
    <w:p/>
    <w:p>
      <w:pPr>
        <w:pStyle w:val="Heading3"/>
      </w:pPr>
      <w:r>
        <w:t>Impacto para Portugal</w:t>
      </w:r>
    </w:p>
    <w:p>
      <w:r>
        <w:rPr>
          <w:b/>
          <w:color w:val="C85050"/>
        </w:rPr>
        <w:t>Necessidade de harmonizar terminologia portuguesa com as 39 definições do Regulamento. Impacto material: conceitos como 'bem-estar', 'operador', 'mutilação' e 'propriedade responsável' mudam de sentido jurídico.</w:t>
      </w:r>
    </w:p>
    <w:p>
      <w:r>
        <w:br w:type="page"/>
      </w:r>
    </w:p>
    <w:p>
      <w:pPr>
        <w:pStyle w:val="Heading1"/>
      </w:pPr>
      <w:r>
        <w:t>Síntese Conclusiva</w:t>
      </w:r>
    </w:p>
    <w:p>
      <w:r>
        <w:t>Os 4 artigos iniciais do Regulamento 2023/0447 são TOTALMENTE NOVOS no ordenamento português. Estabelecem a moldura conceptual, material e pessoal do regulamento, e não encontram correspondência explícita em nenhum documento legislativo ou proposta portuguesa.</w:t>
      </w:r>
    </w:p>
    <w:p/>
    <w:p>
      <w:pPr>
        <w:pStyle w:val="Heading3"/>
      </w:pPr>
      <w:r>
        <w:t>Consequências imediatas:</w:t>
      </w:r>
    </w:p>
    <w:p>
      <w:pPr>
        <w:pStyle w:val="ListNumber"/>
      </w:pPr>
      <w:r>
        <w:t>Necessidade de transposição integral e coerente dos 39 conceitos definidos no Art.º 4.º</w:t>
      </w:r>
    </w:p>
    <w:p>
      <w:pPr>
        <w:pStyle w:val="ListNumber"/>
      </w:pPr>
      <w:r>
        <w:t>Alargamento substancial do âmbito pessoal: obrigações para TODOS os proprietários de cães/gatos, não apenas criadores/vendedores</w:t>
      </w:r>
    </w:p>
    <w:p>
      <w:pPr>
        <w:pStyle w:val="ListNumber"/>
      </w:pPr>
      <w:r>
        <w:t>Integração de 5 atividades-chave numa única regulação: criação, detenção, rastreio, colocação no mercado, importação</w:t>
      </w:r>
    </w:p>
    <w:p>
      <w:pPr>
        <w:pStyle w:val="ListNumber"/>
      </w:pPr>
      <w:r>
        <w:t>Harmonização terminológica urgente entre legislação portuguesa e conceitos do Regulamento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