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1.17</w:t>
            </w:r>
          </w:p>
        </w:tc>
      </w:tr>
      <w:tr>
        <w:tc>
          <w:tcPr>
            <w:tcW w:w="2551" w:type="dxa"/>
          </w:tcPr>
          <w:p>
            <w:pPr>
              <w:spacing w:after="60"/>
            </w:pPr>
            <w:r/>
            <w:r>
              <w:rPr>
                <w:b/>
                <w:sz w:val="20"/>
              </w:rPr>
              <w:t>Data</w:t>
            </w:r>
          </w:p>
        </w:tc>
        <w:tc>
          <w:tcPr>
            <w:tcW w:w="6520" w:type="dxa"/>
          </w:tcPr>
          <w:p>
            <w:pPr>
              <w:spacing w:after="60"/>
            </w:pPr>
            <w:r/>
            <w:r>
              <w:rPr>
                <w:b w:val="0"/>
                <w:sz w:val="20"/>
              </w:rPr>
              <w:t>13.10.2026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P-41. Duas normas diferentes sobre que espécies são animais de companhia (art. 2.º)</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0"/>
        <w:ind w:left="567"/>
      </w:pPr>
      <w:r>
        <w:rPr>
          <w:b w:val="0"/>
          <w:i w:val="0"/>
        </w:rPr>
        <w:t>P-36. Nada diz quem é titular quando o animal não tem proprietário (art. 3.º)</w:t>
      </w:r>
    </w:p>
    <w:p>
      <w:pPr>
        <w:spacing w:after="0"/>
        <w:ind w:left="567"/>
      </w:pPr>
      <w:r>
        <w:rPr>
          <w:b w:val="0"/>
          <w:i w:val="0"/>
        </w:rPr>
        <w:t>P-38. A definição de animal errante passa a abranger qualquer animal não identificado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0"/>
        <w:ind w:left="567"/>
      </w:pPr>
      <w:r>
        <w:rPr>
          <w:b w:val="0"/>
          <w:i w:val="0"/>
        </w:rPr>
        <w:t>P-40.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0"/>
        <w:ind w:left="567"/>
      </w:pPr>
      <w:r>
        <w:rPr>
          <w:b w:val="0"/>
          <w:i w:val="0"/>
        </w:rPr>
        <w:t>P-39. A Lei 75/2013 ainda atribui às câmaras o abate de canídeos e gatídeos (art. 91.º)</w:t>
      </w:r>
    </w:p>
    <w:p>
      <w:pPr>
        <w:spacing w:after="0"/>
        <w:ind w:left="567"/>
      </w:pPr>
      <w:r>
        <w:rPr>
          <w:b w:val="0"/>
          <w:i w:val="0"/>
        </w:rPr>
        <w:t>P-37. Quem acolhe um animal errante pode ficar sem saída lícita (art. 94.º)</w:t>
      </w:r>
    </w:p>
    <w:p>
      <w:pPr>
        <w:spacing w:after="40"/>
      </w:pPr>
    </w:p>
    <w:p>
      <w:pPr>
        <w:spacing w:after="40"/>
      </w:pPr>
      <w:r>
        <w:rPr>
          <w:b/>
          <w:i w:val="0"/>
        </w:rPr>
        <w:t>9. Capítulo XV. Medidas administrativas, fiscalização e contraordenações</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0"/>
        <w:ind w:left="567"/>
      </w:pPr>
      <w:r>
        <w:rPr>
          <w:b w:val="0"/>
          <w:i w:val="0"/>
        </w:rPr>
        <w:t>P-42. Os deveres dos CRO e o relatório anual ficam sem coima (art. 140.º)</w:t>
      </w:r>
    </w:p>
    <w:p>
      <w:pPr>
        <w:spacing w:after="40"/>
      </w:pPr>
    </w:p>
    <w:p>
      <w:pPr>
        <w:spacing w:after="40"/>
      </w:pPr>
      <w:r>
        <w:rPr>
          <w:b/>
          <w:i w:val="0"/>
        </w:rPr>
        <w:t>10. Capítulo XVI. Disposições complementares, finais e transitórias</w:t>
      </w:r>
    </w:p>
    <w:p>
      <w:pPr>
        <w:spacing w:after="0"/>
        <w:ind w:left="567"/>
      </w:pPr>
      <w:r>
        <w:rPr>
          <w:b w:val="0"/>
          <w:i w:val="0"/>
        </w:rPr>
        <w:t>P-07. As portarias mantidas usam detentor no sentido antigo (art. 149.º)</w:t>
      </w:r>
    </w:p>
    <w:p>
      <w:pPr>
        <w:spacing w:after="40"/>
      </w:pPr>
    </w:p>
    <w:p>
      <w:pPr>
        <w:spacing w:after="40"/>
      </w:pPr>
      <w:r>
        <w:rPr>
          <w:b/>
          <w:i w:val="0"/>
        </w:rPr>
        <w:t>11.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P-36, P-13, P-16, P-12, P-02, P-08, P-10, P-05, P-17, P-04, P-15, P-37,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P-38, P-30, P-21, P-35, P-19, P-20, P-23, P-24, P-25, P-26, P-27, P-29, P-31, P-32, P-33, P-34, P-28, P-22, P-39, P-37.</w:t>
      </w:r>
    </w:p>
    <w:p>
      <w:r>
        <w:br w:type="page"/>
      </w:r>
    </w:p>
    <w:p>
      <w:pPr>
        <w:pStyle w:val="Heading1"/>
      </w:pPr>
      <w:r>
        <w:rPr>
          <w:i w:val="0"/>
          <w:color w:val="000000"/>
        </w:rPr>
        <w:t>3. Capítulo I. Disposições Gerais</w:t>
      </w:r>
    </w:p>
    <w:p>
      <w:pPr>
        <w:pStyle w:val="Heading2"/>
      </w:pPr>
      <w:r>
        <w:rPr>
          <w:i w:val="0"/>
          <w:color w:val="000000"/>
        </w:rPr>
        <w:t>P-41.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P-37).</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 P-37</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pPr>
        <w:pStyle w:val="Heading2"/>
      </w:pPr>
      <w:r>
        <w:rPr>
          <w:i w:val="0"/>
          <w:color w:val="000000"/>
        </w:rPr>
        <w:t>P-36.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P-03, e acrescentar uma norma supletiva: não havendo proprietário conhecido, é titular a entidade a quem a lei comete a responsabilidade pelo animal, designadamente a câmara municipal, através do CRO, nos casos de recolha e nos programas CED. Esta proposta qualifica a da ficha P-01: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P-02, P-03, P-26</w:t>
            </w:r>
          </w:p>
        </w:tc>
      </w:tr>
    </w:tbl>
    <w:p/>
    <w:p>
      <w:pPr>
        <w:pStyle w:val="Heading2"/>
      </w:pPr>
      <w:r>
        <w:rPr>
          <w:i w:val="0"/>
          <w:color w:val="000000"/>
        </w:rPr>
        <w:t>P-38.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P-30).</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P-30, P-15</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pPr>
        <w:pStyle w:val="Heading2"/>
      </w:pPr>
      <w:r>
        <w:rPr>
          <w:i w:val="0"/>
          <w:color w:val="000000"/>
        </w:rPr>
        <w:t>P-40.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P-39).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P-39</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P-22).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 P-22, P-37</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pPr>
        <w:pStyle w:val="Heading2"/>
      </w:pPr>
      <w:r>
        <w:rPr>
          <w:i w:val="0"/>
          <w:color w:val="000000"/>
        </w:rPr>
        <w:t>P-39.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w:t>
            </w:r>
          </w:p>
        </w:tc>
      </w:tr>
    </w:tbl>
    <w:p/>
    <w:p>
      <w:pPr>
        <w:pStyle w:val="Heading2"/>
      </w:pPr>
      <w:r>
        <w:rPr>
          <w:i w:val="0"/>
          <w:color w:val="000000"/>
        </w:rPr>
        <w:t>P-37.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P-15).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P-15</w:t>
            </w:r>
          </w:p>
        </w:tc>
      </w:tr>
    </w:tbl>
    <w:p/>
    <w:p>
      <w:r>
        <w:br w:type="page"/>
      </w:r>
    </w:p>
    <w:p>
      <w:pPr>
        <w:pStyle w:val="Heading1"/>
      </w:pPr>
      <w:r>
        <w:rPr>
          <w:i w:val="0"/>
          <w:color w:val="000000"/>
        </w:rPr>
        <w:t>9. Capítulo XV. Medidas administrativas, fiscalização e contraordenações</w:t>
      </w:r>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pPr>
        <w:pStyle w:val="Heading2"/>
      </w:pPr>
      <w:r>
        <w:rPr>
          <w:i w:val="0"/>
          <w:color w:val="000000"/>
        </w:rPr>
        <w:t>P-42.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fora das condições (al. f)).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No art. 140.º: punir a falta ou o atraso do relatório anual e do plano do art. 85.º (ver P-35);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P-06).</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 P-06, P-11, P-39</w:t>
            </w:r>
          </w:p>
        </w:tc>
      </w:tr>
    </w:tbl>
    <w:p/>
    <w:p>
      <w:r>
        <w:br w:type="page"/>
      </w:r>
    </w:p>
    <w:p>
      <w:pPr>
        <w:pStyle w:val="Heading1"/>
      </w:pPr>
      <w:r>
        <w:rPr>
          <w:i w:val="0"/>
          <w:color w:val="000000"/>
        </w:rPr>
        <w:t>10.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3"/>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P-41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P-36</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P-38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P-40</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P-37</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P-42</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42 fichas, das quais 38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P-40.</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P-42.</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P-42.</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P-42.</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28</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12</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5</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41</w:t>
            </w:r>
          </w:p>
        </w:tc>
        <w:tc>
          <w:tcPr>
            <w:tcW w:w="1701" w:type="dxa"/>
          </w:tcPr>
          <w:p>
            <w:pPr>
              <w:spacing w:after="60"/>
            </w:pPr>
            <w:r/>
            <w:r>
              <w:rPr>
                <w:b/>
                <w:sz w:val="20"/>
              </w:rPr>
              <w:t>112</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P-36, P-20, P-30, P-37, P-38, 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P-40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P-40,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 P-36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P-42,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P-36, 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 P-42,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P-37, P-38, P-39, P-42,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P-37,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P-42,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P-42,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P-40, P-42,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(20)</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P-36. Nada diz quem é titular quando o animal não tem proprietário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P-37. Quem acolhe um animal errante pode ficar sem saída lícita (art. 94.º, cap. X)</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(20)</w:t>
      </w:r>
    </w:p>
    <w:p>
      <w:pPr>
        <w:spacing w:after="20"/>
        <w:ind w:left="454"/>
      </w:pPr>
      <w:r>
        <w:rPr>
          <w:b w:val="0"/>
          <w:i w:val="0"/>
        </w:rPr>
        <w:t>P-38. A definição de animal errante passa a abranger qualquer animal não identificado (art. 3.º, cap. I)</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spacing w:after="20"/>
        <w:ind w:left="454"/>
      </w:pPr>
      <w:r>
        <w:rPr>
          <w:b w:val="0"/>
          <w:i w:val="0"/>
        </w:rPr>
        <w:t>P-39. A Lei 75/2013 ainda atribui às câmaras o abate de canídeos e gatídeos (art. 91.º, cap. X)</w:t>
      </w:r>
    </w:p>
    <w:p>
      <w:pPr>
        <w:spacing w:after="20"/>
        <w:ind w:left="454"/>
      </w:pPr>
      <w:r>
        <w:rPr>
          <w:b w:val="0"/>
          <w:i w:val="0"/>
        </w:rPr>
        <w:t>P-37. Quem acolhe um animal errante pode ficar sem saída lícita (art. 94.º, cap. X)</w:t>
      </w:r>
    </w:p>
    <w:p>
      <w:pPr>
        <w:pStyle w:val="Heading2"/>
      </w:pPr>
      <w:r>
        <w:rPr>
          <w:i w:val="0"/>
          <w:color w:val="000000"/>
        </w:rPr>
        <w:t>Identificação e registo (7)</w:t>
      </w:r>
    </w:p>
    <w:p>
      <w:pPr>
        <w:spacing w:after="20"/>
        <w:ind w:left="454"/>
      </w:pPr>
      <w:r>
        <w:rPr>
          <w:b w:val="0"/>
          <w:i w:val="0"/>
        </w:rPr>
        <w:t>P-41. Duas normas diferentes sobre que espécies são animais de companhia (art. 2.º, cap. I)</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pStyle w:val="Heading2"/>
      </w:pPr>
      <w:r>
        <w:rPr>
          <w:i w:val="0"/>
          <w:color w:val="000000"/>
        </w:rPr>
        <w:t>Estabelecimentos e operadores (2)</w:t>
      </w:r>
    </w:p>
    <w:p>
      <w:pPr>
        <w:spacing w:after="20"/>
        <w:ind w:left="454"/>
      </w:pPr>
      <w:r>
        <w:rPr>
          <w:b w:val="0"/>
          <w:i w:val="0"/>
        </w:rPr>
        <w:t>P-12. Redação por decidir no art. 22.º (art. 22.º, cap. IV)</w:t>
      </w:r>
    </w:p>
    <w:p>
      <w:pPr>
        <w:spacing w:after="20"/>
        <w:ind w:left="454"/>
      </w:pPr>
      <w:r>
        <w:rPr>
          <w:b w:val="0"/>
          <w:i w:val="0"/>
        </w:rPr>
        <w:t>P-42. Os deveres dos CRO e o relatório anual ficam sem coima (art. 140.º, cap. XV)</w:t>
      </w:r>
    </w:p>
    <w:p>
      <w:pPr>
        <w:pStyle w:val="Heading2"/>
      </w:pPr>
      <w:r>
        <w:rPr>
          <w:i w:val="0"/>
          <w:color w:val="000000"/>
        </w:rPr>
        <w:t>Fiscalização e contraordenações (3)</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P-42. Os deveres dos CRO e o relatório anual ficam sem coima (art. 140.º, cap. XV)</w:t>
      </w:r>
    </w:p>
    <w:p>
      <w:pPr>
        <w:pStyle w:val="Heading2"/>
      </w:pPr>
      <w:r>
        <w:rPr>
          <w:i w:val="0"/>
          <w:color w:val="000000"/>
        </w:rPr>
        <w:t>Disposições finais e revogações (1)</w:t>
      </w:r>
    </w:p>
    <w:p>
      <w:pPr>
        <w:spacing w:after="20"/>
        <w:ind w:left="454"/>
      </w:pPr>
      <w:r>
        <w:rPr>
          <w:b w:val="0"/>
          <w:i w:val="0"/>
        </w:rPr>
        <w:t>P-07. As portarias mantidas usam detentor no sentido antigo (art. 149.º, cap. XVI)</w:t>
      </w:r>
    </w:p>
    <w:p>
      <w:pPr>
        <w:pStyle w:val="Heading2"/>
      </w:pPr>
      <w:r>
        <w:rPr>
          <w:i w:val="0"/>
          <w:color w:val="000000"/>
        </w:rPr>
        <w:t>Bem-estar e deveres de detenção (1)</w:t>
      </w:r>
    </w:p>
    <w:p>
      <w:pPr>
        <w:spacing w:after="20"/>
        <w:ind w:left="454"/>
      </w:pPr>
      <w:r>
        <w:rPr>
          <w:b w:val="0"/>
          <w:i w:val="0"/>
        </w:rPr>
        <w:t>P-40. A amarração no domicílio fica sem duração máxima nem requisitos verificáveis (art. 19.º, cap. II)</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T-19</w:t>
            </w:r>
          </w:p>
        </w:tc>
        <w:tc>
          <w:tcPr>
            <w:tcW w:w="1417" w:type="dxa"/>
          </w:tcPr>
          <w:p>
            <w:pPr>
              <w:spacing w:after="60"/>
            </w:pPr>
            <w:r/>
            <w:r>
              <w:rPr>
                <w:b w:val="0"/>
                <w:sz w:val="20"/>
              </w:rPr>
              <w:t>P-36</w:t>
            </w:r>
          </w:p>
        </w:tc>
        <w:tc>
          <w:tcPr>
            <w:tcW w:w="6236" w:type="dxa"/>
          </w:tcPr>
          <w:p>
            <w:pPr>
              <w:spacing w:after="60"/>
            </w:pPr>
            <w:r/>
            <w:r>
              <w:rPr>
                <w:b w:val="0"/>
                <w:sz w:val="20"/>
              </w:rPr>
              <w:t>Nada diz quem é titular quando o animal não tem proprietário</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r>
        <w:tc>
          <w:tcPr>
            <w:tcW w:w="1417" w:type="dxa"/>
          </w:tcPr>
          <w:p>
            <w:pPr>
              <w:spacing w:after="60"/>
            </w:pPr>
            <w:r/>
            <w:r>
              <w:rPr>
                <w:b w:val="0"/>
                <w:sz w:val="20"/>
              </w:rPr>
              <w:t>T-20</w:t>
            </w:r>
          </w:p>
        </w:tc>
        <w:tc>
          <w:tcPr>
            <w:tcW w:w="1417" w:type="dxa"/>
          </w:tcPr>
          <w:p>
            <w:pPr>
              <w:spacing w:after="60"/>
            </w:pPr>
            <w:r/>
            <w:r>
              <w:rPr>
                <w:b w:val="0"/>
                <w:sz w:val="20"/>
              </w:rPr>
              <w:t>P-37</w:t>
            </w:r>
          </w:p>
        </w:tc>
        <w:tc>
          <w:tcPr>
            <w:tcW w:w="6236" w:type="dxa"/>
          </w:tcPr>
          <w:p>
            <w:pPr>
              <w:spacing w:after="60"/>
            </w:pPr>
            <w:r/>
            <w:r>
              <w:rPr>
                <w:b w:val="0"/>
                <w:sz w:val="20"/>
              </w:rPr>
              <w:t>Quem acolhe um animal errante pode ficar sem saída lícita</w:t>
            </w:r>
          </w:p>
        </w:tc>
      </w:tr>
      <w:tr>
        <w:tc>
          <w:tcPr>
            <w:tcW w:w="1417" w:type="dxa"/>
          </w:tcPr>
          <w:p>
            <w:pPr>
              <w:spacing w:after="60"/>
            </w:pPr>
            <w:r/>
            <w:r>
              <w:rPr>
                <w:b w:val="0"/>
                <w:sz w:val="20"/>
              </w:rPr>
              <w:t>C-18</w:t>
            </w:r>
          </w:p>
        </w:tc>
        <w:tc>
          <w:tcPr>
            <w:tcW w:w="1417" w:type="dxa"/>
          </w:tcPr>
          <w:p>
            <w:pPr>
              <w:spacing w:after="60"/>
            </w:pPr>
            <w:r/>
            <w:r>
              <w:rPr>
                <w:b w:val="0"/>
                <w:sz w:val="20"/>
              </w:rPr>
              <w:t>P-38</w:t>
            </w:r>
          </w:p>
        </w:tc>
        <w:tc>
          <w:tcPr>
            <w:tcW w:w="6236" w:type="dxa"/>
          </w:tcPr>
          <w:p>
            <w:pPr>
              <w:spacing w:after="60"/>
            </w:pPr>
            <w:r/>
            <w:r>
              <w:rPr>
                <w:b w:val="0"/>
                <w:sz w:val="20"/>
              </w:rPr>
              <w:t>A definição de animal errante passa a abranger qualquer animal não identificado</w:t>
            </w:r>
          </w:p>
        </w:tc>
      </w:tr>
      <w:tr>
        <w:tc>
          <w:tcPr>
            <w:tcW w:w="1417" w:type="dxa"/>
          </w:tcPr>
          <w:p>
            <w:pPr>
              <w:spacing w:after="60"/>
            </w:pPr>
            <w:r/>
            <w:r>
              <w:rPr>
                <w:b w:val="0"/>
                <w:sz w:val="20"/>
              </w:rPr>
              <w:t>C-19</w:t>
            </w:r>
          </w:p>
        </w:tc>
        <w:tc>
          <w:tcPr>
            <w:tcW w:w="1417" w:type="dxa"/>
          </w:tcPr>
          <w:p>
            <w:pPr>
              <w:spacing w:after="60"/>
            </w:pPr>
            <w:r/>
            <w:r>
              <w:rPr>
                <w:b w:val="0"/>
                <w:sz w:val="20"/>
              </w:rPr>
              <w:t>P-39</w:t>
            </w:r>
          </w:p>
        </w:tc>
        <w:tc>
          <w:tcPr>
            <w:tcW w:w="6236" w:type="dxa"/>
          </w:tcPr>
          <w:p>
            <w:pPr>
              <w:spacing w:after="60"/>
            </w:pPr>
            <w:r/>
            <w:r>
              <w:rPr>
                <w:b w:val="0"/>
                <w:sz w:val="20"/>
              </w:rPr>
              <w:t>A Lei 75/2013 ainda atribui às câmaras o abate de canídeos e gatídeos</w:t>
            </w:r>
          </w:p>
        </w:tc>
      </w:tr>
      <w:tr>
        <w:tc>
          <w:tcPr>
            <w:tcW w:w="1417" w:type="dxa"/>
          </w:tcPr>
          <w:p>
            <w:pPr>
              <w:spacing w:after="60"/>
            </w:pPr>
            <w:r/>
            <w:r>
              <w:rPr>
                <w:b w:val="0"/>
                <w:sz w:val="20"/>
              </w:rPr>
              <w:t>P-01</w:t>
            </w:r>
          </w:p>
        </w:tc>
        <w:tc>
          <w:tcPr>
            <w:tcW w:w="1417" w:type="dxa"/>
          </w:tcPr>
          <w:p>
            <w:pPr>
              <w:spacing w:after="60"/>
            </w:pPr>
            <w:r/>
            <w:r>
              <w:rPr>
                <w:b w:val="0"/>
                <w:sz w:val="20"/>
              </w:rPr>
              <w:t>P-40</w:t>
            </w:r>
          </w:p>
        </w:tc>
        <w:tc>
          <w:tcPr>
            <w:tcW w:w="6236" w:type="dxa"/>
          </w:tcPr>
          <w:p>
            <w:pPr>
              <w:spacing w:after="60"/>
            </w:pPr>
            <w:r/>
            <w:r>
              <w:rPr>
                <w:b w:val="0"/>
                <w:sz w:val="20"/>
              </w:rPr>
              <w:t>A amarração no domicílio fica sem duração máxima nem requisitos verificáveis</w:t>
            </w:r>
          </w:p>
        </w:tc>
      </w:tr>
      <w:tr>
        <w:tc>
          <w:tcPr>
            <w:tcW w:w="1417" w:type="dxa"/>
          </w:tcPr>
          <w:p>
            <w:pPr>
              <w:spacing w:after="60"/>
            </w:pPr>
            <w:r/>
            <w:r>
              <w:rPr>
                <w:b w:val="0"/>
                <w:sz w:val="20"/>
              </w:rPr>
              <w:t>A-01</w:t>
            </w:r>
          </w:p>
        </w:tc>
        <w:tc>
          <w:tcPr>
            <w:tcW w:w="1417" w:type="dxa"/>
          </w:tcPr>
          <w:p>
            <w:pPr>
              <w:spacing w:after="60"/>
            </w:pPr>
            <w:r/>
            <w:r>
              <w:rPr>
                <w:b w:val="0"/>
                <w:sz w:val="20"/>
              </w:rPr>
              <w:t>P-41</w:t>
            </w:r>
          </w:p>
        </w:tc>
        <w:tc>
          <w:tcPr>
            <w:tcW w:w="6236" w:type="dxa"/>
          </w:tcPr>
          <w:p>
            <w:pPr>
              <w:spacing w:after="60"/>
            </w:pPr>
            <w:r/>
            <w:r>
              <w:rPr>
                <w:b w:val="0"/>
                <w:sz w:val="20"/>
              </w:rPr>
              <w:t>Duas normas diferentes sobre que espécies são animais de companhia</w:t>
            </w:r>
          </w:p>
        </w:tc>
      </w:tr>
      <w:tr>
        <w:tc>
          <w:tcPr>
            <w:tcW w:w="1417" w:type="dxa"/>
          </w:tcPr>
          <w:p>
            <w:pPr>
              <w:spacing w:after="60"/>
            </w:pPr>
            <w:r/>
            <w:r>
              <w:rPr>
                <w:b w:val="0"/>
                <w:sz w:val="20"/>
              </w:rPr>
              <w:t>S-01</w:t>
            </w:r>
          </w:p>
        </w:tc>
        <w:tc>
          <w:tcPr>
            <w:tcW w:w="1417" w:type="dxa"/>
          </w:tcPr>
          <w:p>
            <w:pPr>
              <w:spacing w:after="60"/>
            </w:pPr>
            <w:r/>
            <w:r>
              <w:rPr>
                <w:b w:val="0"/>
                <w:sz w:val="20"/>
              </w:rPr>
              <w:t>P-42</w:t>
            </w:r>
          </w:p>
        </w:tc>
        <w:tc>
          <w:tcPr>
            <w:tcW w:w="6236" w:type="dxa"/>
          </w:tcPr>
          <w:p>
            <w:pPr>
              <w:spacing w:after="60"/>
            </w:pPr>
            <w:r/>
            <w:r>
              <w:rPr>
                <w:b w:val="0"/>
                <w:sz w:val="20"/>
              </w:rPr>
              <w:t>Os deveres dos CRO e o relatório anual ficam sem coima</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8">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9">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0">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1">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2">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3">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4">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5">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6">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7">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8">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9">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0">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1">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2">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3">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4">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5">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6">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7">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8">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9">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0">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1">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2">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3">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4">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5">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6">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7">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8">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9">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0">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1">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2">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3">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4">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5">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6">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67">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8">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9">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0">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1">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2">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1.17.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anmp.pt/file-viewer/?pstid=41508" TargetMode="External"/><Relationship Id="rId29"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0"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1" Type="http://schemas.openxmlformats.org/officeDocument/2006/relationships/hyperlink" Target="https://www.icnf.pt/api/file/doc/41f8f44aee23be1a" TargetMode="External"/><Relationship Id="rId32" Type="http://schemas.openxmlformats.org/officeDocument/2006/relationships/hyperlink" Target="https://www.dgav.pt/wp-content/uploads/2021/08/Relatorio-FINAL-avaliacao-da-implementacao-da-Lei-27-2016.pdf" TargetMode="External"/><Relationship Id="rId33" Type="http://schemas.openxmlformats.org/officeDocument/2006/relationships/hyperlink" Target="https://www.provedor-jus.pt/documentos/082A_96.pdf" TargetMode="External"/><Relationship Id="rId34" Type="http://schemas.openxmlformats.org/officeDocument/2006/relationships/hyperlink" Target="https://www.provedor-jus.pt/documentos/canideos-captura-alojamento-e-abate/" TargetMode="External"/><Relationship Id="rId35" Type="http://schemas.openxmlformats.org/officeDocument/2006/relationships/hyperlink" Target="https://www.provedor-jus.pt/documentos/ambiente-salubridade-habitacao-acumulacao-de-residuos-saude-mental-sindrome-de-diogenes-004-a-2013/" TargetMode="External"/><Relationship Id="rId36" Type="http://schemas.openxmlformats.org/officeDocument/2006/relationships/hyperlink" Target="https://www.provedor-jus.pt/documentos/Relat2020%20_Relatorio.pdf" TargetMode="External"/><Relationship Id="rId37" Type="http://schemas.openxmlformats.org/officeDocument/2006/relationships/hyperlink" Target="https://www.provedor-jus.pt/documentos/Relatorio%202023.pdf" TargetMode="External"/><Relationship Id="rId38" Type="http://schemas.openxmlformats.org/officeDocument/2006/relationships/hyperlink" Target="https://food.ec.europa.eu/document/download/caf8cd1d-967a-4e60-a0e5-19401be1c6b3_en?filename=aw_awp_leg_dog-cat_swd-2024-88.pdf" TargetMode="External"/><Relationship Id="rId39" Type="http://schemas.openxmlformats.org/officeDocument/2006/relationships/hyperlink" Target="https://www.woah.org/fileadmin/Home/eng/Health_standards/tahc/2023/chapitre_aw_stray_dog.pdf" TargetMode="External"/><Relationship Id="rId40" Type="http://schemas.openxmlformats.org/officeDocument/2006/relationships/hyperlink" Target="https://www.omv.pt/dmdocuments/vi_formacao_omv/abandono_animais_camv_ultimoparecer_nov2015.pdf" TargetMode="External"/><Relationship Id="rId41"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2" Type="http://schemas.openxmlformats.org/officeDocument/2006/relationships/hyperlink" Target="https://apmveac.pt/wp-content/uploads/2021/04/Legislacao.Animais.Companhia_09-04-2021-amarelo-final-.pdf" TargetMode="External"/><Relationship Id="rId43" Type="http://schemas.openxmlformats.org/officeDocument/2006/relationships/hyperlink" Target="https://apmveac.pt/wp-content/uploads/2023/09/Parecer-APMVEAC-Consulta-Publica-ENAE.pdf" TargetMode="External"/><Relationship Id="rId44" Type="http://schemas.openxmlformats.org/officeDocument/2006/relationships/hyperlink" Target="https://www.arpa-associacao.pt/media/attachments/2022/12/14/parecer-arpa-versAo-4-final.pdf" TargetMode="External"/><Relationship Id="rId45" Type="http://schemas.openxmlformats.org/officeDocument/2006/relationships/hyperlink" Target="https://www.spea.pt/wp-content/uploads/2020/09/ParecerSPEA_Planos-Gestao-Parques-Naturais-Ilha-2020.pdf" TargetMode="External"/><Relationship Id="rId46" Type="http://schemas.openxmlformats.org/officeDocument/2006/relationships/hyperlink" Target="https://spea.pt/um-gato-feliz-e-alimentado-mantem-o-passarinho-afastado/" TargetMode="External"/><Relationship Id="rId47" Type="http://schemas.openxmlformats.org/officeDocument/2006/relationships/hyperlink" Target="https://matilhascoimbra.pt/pages/projecto-2" TargetMode="External"/><Relationship Id="rId48" Type="http://schemas.openxmlformats.org/officeDocument/2006/relationships/hyperlink" Target="https://www.pan.com.pt/pan-destaca-vitorias-no-bem-estar-animal-mas-denuncia-retrocesso-grave-no-orcamento-do-estado-para-2026/" TargetMode="External"/><Relationship Id="rId49" Type="http://schemas.openxmlformats.org/officeDocument/2006/relationships/hyperlink" Target="https://www.pcp.pt/solucao-prevencao-pela-esterilizacao-rede-publica-de-veterinarios-nao-abate-de-animais-abandonados" TargetMode="External"/><Relationship Id="rId50" Type="http://schemas.openxmlformats.org/officeDocument/2006/relationships/hyperlink" Target="https://www.pcp.pt/campanha-nacional-de-esterilizacao-de-animais-errantes-0" TargetMode="External"/><Relationship Id="rId51" Type="http://schemas.openxmlformats.org/officeDocument/2006/relationships/hyperlink" Target="https://programa.partidolivre.pt/propostas/N.13/" TargetMode="External"/><Relationship Id="rId52" Type="http://schemas.openxmlformats.org/officeDocument/2006/relationships/hyperlink" Target="https://maratonapelosanimais.pt/wp-content/uploads/2024/03/respostas-completas.pdf" TargetMode="External"/><Relationship Id="rId53" Type="http://schemas.openxmlformats.org/officeDocument/2006/relationships/hyperlink" Target="https://www.cidp.pt/revistas/rjlb/2019/2/2019_02_0077_0095.pdf" TargetMode="External"/><Relationship Id="rId54" Type="http://schemas.openxmlformats.org/officeDocument/2006/relationships/hyperlink" Target="https://www.cidp.pt/revistas/rjlb/2019/2/2019_02_0305_0348.pdf" TargetMode="External"/><Relationship Id="rId55" Type="http://schemas.openxmlformats.org/officeDocument/2006/relationships/hyperlink" Target="https://cej.justica.gov.pt/LinkClick.aspx?fileticket=VpuQj7jZ-us%3D&amp;portalid=30" TargetMode="External"/><Relationship Id="rId56" Type="http://schemas.openxmlformats.org/officeDocument/2006/relationships/hyperlink" Target="https://jurisprudencia.pt/acordao/76412/" TargetMode="External"/><Relationship Id="rId57" Type="http://schemas.openxmlformats.org/officeDocument/2006/relationships/hyperlink" Target="https://trc.pt/responsabilidade-civil-danos-causados-por-animais-dever-de-vigilancia/" TargetMode="External"/><Relationship Id="rId58" Type="http://schemas.openxmlformats.org/officeDocument/2006/relationships/hyperlink" Target="https://jurisprudencia.pt/acordao/128487/" TargetMode="External"/><Relationship Id="rId59" Type="http://schemas.openxmlformats.org/officeDocument/2006/relationships/hyperlink" Target="https://www.tribunalconstitucional.pt/tc/acordaos/20210867.html" TargetMode="External"/><Relationship Id="rId60" Type="http://schemas.openxmlformats.org/officeDocument/2006/relationships/hyperlink" Target="https://www.tribunalconstitucional.pt/tc/acordaos/20240070.html" TargetMode="External"/><Relationship Id="rId61" Type="http://schemas.openxmlformats.org/officeDocument/2006/relationships/hyperlink" Target="https://jurisprudencia.pt/acordao/221373/" TargetMode="External"/><Relationship Id="rId62" Type="http://schemas.openxmlformats.org/officeDocument/2006/relationships/hyperlink" Target="https://www.tribunalconstitucional.pt/tc/acordaos/20240478.html" TargetMode="External"/><Relationship Id="rId63" Type="http://schemas.openxmlformats.org/officeDocument/2006/relationships/hyperlink" Target="https://www.dgsi.pt/jtrl.nsf/33182fc732316039802565fa00497eec/7462ba7a0546bac680258c8b0049a31e?OpenDocument" TargetMode="External"/><Relationship Id="rId64" Type="http://schemas.openxmlformats.org/officeDocument/2006/relationships/hyperlink" Target="https://www.dgsi.pt/jtrp.nsf/56a6e7121657f91e80257cda00381fdf/703e8b815ea39ece80258b34004b8157" TargetMode="External"/><Relationship Id="rId65" Type="http://schemas.openxmlformats.org/officeDocument/2006/relationships/hyperlink" Target="https://www.nature.com/articles/ncomms2380" TargetMode="External"/><Relationship Id="rId66" Type="http://schemas.openxmlformats.org/officeDocument/2006/relationships/hyperlink" Target="https://doi.org/10.2460/javma.2005.227.1775" TargetMode="External"/><Relationship Id="rId67" Type="http://schemas.openxmlformats.org/officeDocument/2006/relationships/hyperlink" Target="https://www.frontiersin.org/journals/veterinary-science/articles/10.3389/fvets.2019.00238/full" TargetMode="External"/><Relationship Id="rId68" Type="http://schemas.openxmlformats.org/officeDocument/2006/relationships/hyperlink" Target="https://www.frontiersin.org/journals/veterinary-science/articles/10.3389/fvets.2019.00077/full" TargetMode="External"/><Relationship Id="rId69" Type="http://schemas.openxmlformats.org/officeDocument/2006/relationships/hyperlink" Target="https://doi.org/10.1093/jel/eqz035" TargetMode="External"/><Relationship Id="rId70" Type="http://schemas.openxmlformats.org/officeDocument/2006/relationships/hyperlink" Target="https://pmc.ncbi.nlm.nih.gov/articles/PMC9169806/" TargetMode="External"/><Relationship Id="rId71" Type="http://schemas.openxmlformats.org/officeDocument/2006/relationships/hyperlink" Target="https://pmc.ncbi.nlm.nih.gov/articles/PMC11939513/" TargetMode="External"/><Relationship Id="rId72" Type="http://schemas.openxmlformats.org/officeDocument/2006/relationships/hyperlink" Target="https://dspace.uevora.pt/rdpc/bitstream/10174/38522/1/Gal%C3%A3o%20et%20al_2025_When%20pets%20go%20wild.pdf" TargetMode="External"/><Relationship Id="rId7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