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sz w:val="28"/>
        </w:rPr>
        <w:t>Anexo ao parecer sobre o alojamento PT1225FL. Medidas cautelares: art.º 3.º-G do DL 276/2001, art.º 89.º do CPA e art.º 48.º do RJCE</w:t>
      </w:r>
    </w:p>
    <w:p>
      <w:pPr>
        <w:spacing w:before="0" w:after="160"/>
      </w:pPr>
      <w:r>
        <w:rPr>
          <w:b w:val="0"/>
          <w:i w:val="0"/>
          <w:sz w:val="20"/>
        </w:rPr>
        <w:t>Nota de acompanhamento, 21.10.2026. Regista a resposta à dúvida sobre a origem do art.º 48.º citado no parecer e sobre a sua relação com o DL 276/2001.</w:t>
      </w:r>
    </w:p>
    <w:p>
      <w:pPr>
        <w:spacing w:before="200" w:after="80"/>
      </w:pPr>
      <w:r>
        <w:rPr>
          <w:b/>
          <w:i w:val="0"/>
          <w:sz w:val="22"/>
        </w:rPr>
        <w:t>1. A dúvida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O parecer cita o n.º 1 do art.º 48.º do RJCE como base para medidas cautelares sem audição prévia. A dúvida colocada foi se esse artigo faz parte do DL 276/2001.</w:t>
      </w:r>
    </w:p>
    <w:p>
      <w:pPr>
        <w:spacing w:before="200" w:after="80"/>
      </w:pPr>
      <w:r>
        <w:rPr>
          <w:b/>
          <w:i w:val="0"/>
          <w:sz w:val="22"/>
        </w:rPr>
        <w:t>2. Resposta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Não faz. O art.º 48.º pertence ao Regime Jurídico das Contraordenações Económicas (RJCE), aprovado em anexo ao Decreto-Lei n.º 9/2021, de 29 de janeiro. Aplica-se às contraordenações do DL 276/2001 por remissão: o art.º 36.º do DL 9/2021 deu nova redação ao art.º 68.º do DL 276/2001, que passou a qualificar as suas contraordenações como «contraordenação económica grave, punível nos termos do Regime Jurídico das Contraordenações Económicas (RJCE)» (n.º 1) e «contraordenação económica muito grave, punível nos termos do RJCE» (n.º 2). A partir daí, tudo o que o DL 276/2001 não regula no plano contraordenacional vai buscar-se ao RJCE: medidas cautelares (art.º 48.º), apreensão de bens e seres vivos (art.º 49.º), destino antecipado dos bens apreendidos (art.º 50.º), sanções acessórias gerais (art.º 28.º), prescrição (art.º 36.º) e concurso com crime (art.º 27.º).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O DL 276/2001, por si, não contém qualquer medida cautelar nem norma de apreensão. A verificação no texto consolidado do DRE (versão à data de 29.1.2021, sem alterações posteriores) mostrou que nenhum artigo usa as expressões «cautelar», «apreensão» ou «sequestro». O que o diploma tem é: o art.º 3.º-G (suspensão de atividade e encerramento dos alojamentos, que é procedimento administrativo e não contraordenacional); o n.º 8 do art.º 19.º (recolha de animais quando esteja em causa a sua saúde e bem-estar); o art.º 67.º-A (acesso ao alojamento, com mandado judicial em caso de recusa); e a al. a) do art.º 69.º (perda dos animais a favor do Estado, como sanção acessória).</w:t>
      </w:r>
    </w:p>
    <w:p>
      <w:pPr>
        <w:spacing w:before="0" w:after="40"/>
        <w:ind w:left="567"/>
        <w:jc w:val="both"/>
      </w:pPr>
      <w:r>
        <w:rPr>
          <w:b w:val="0"/>
          <w:i w:val="0"/>
          <w:sz w:val="20"/>
        </w:rPr>
        <w:t>«1 — Quando esteja em causa o exercício ilegal de atividades, a existência de risco grave ou iminente para a saúde e a segurança das pessoas, animais ou bens ou para o ambiente, a violação grave de direitos dos consumidores ou quando se revele necessário para a instrução do processo de contraordenação, a autoridade administrativa competente pode determinar, sem audição prévia dos interessados, as seguintes medidas cautelares: a) A suspensão, total ou parcial, do exercício de atividades económicas; b) A cessação de práticas proibidas nos termos das disposições legais aplicáveis que se encontrem em curso; c) O encerramento, no todo ou em parte, de estabelecimentos ou de espaços que se encontrem adstritos ao apoio às atividades exercidas; d) A apreensão ou selagem de todos ou parte dos bens; e) A imposição das medidas que se mostrem adequadas à prevenção de danos à saúde e à segurança das pessoas, animais ou bens ou de danos ambientais, à reposição da situação anterior à infração e à minimização dos efeitos decorrentes da mesma.»</w:t>
      </w:r>
    </w:p>
    <w:p>
      <w:pPr>
        <w:spacing w:before="0" w:after="160"/>
        <w:ind w:left="567"/>
      </w:pPr>
      <w:r>
        <w:rPr>
          <w:b w:val="0"/>
          <w:i/>
          <w:sz w:val="18"/>
        </w:rPr>
        <w:t>n.º 1 do art.º 48.º do RJCE, anexo ao Decreto-Lei n.º 9/2021, de 29 de janeiro.</w:t>
      </w:r>
    </w:p>
    <w:p>
      <w:pPr>
        <w:spacing w:before="0" w:after="40"/>
        <w:ind w:left="567"/>
        <w:jc w:val="both"/>
      </w:pPr>
      <w:r>
        <w:rPr>
          <w:b w:val="0"/>
          <w:i w:val="0"/>
          <w:sz w:val="20"/>
        </w:rPr>
        <w:t>«1 - Compete à DGAV e aos órgãos de polícia criminal a instrução dos processos de contraordenação. 2 - Compete ao diretor-geral de Alimentação e Veterinária ou ao diretor do respetivo órgão de polícia criminal a aplicação das coimas e das sanções acessórias.»</w:t>
      </w:r>
    </w:p>
    <w:p>
      <w:pPr>
        <w:spacing w:before="0" w:after="160"/>
        <w:ind w:left="567"/>
      </w:pPr>
      <w:r>
        <w:rPr>
          <w:b w:val="0"/>
          <w:i/>
          <w:sz w:val="18"/>
        </w:rPr>
        <w:t>art.º 70.º do Decreto-Lei n.º 276/2001, de 17 de outubro.</w:t>
      </w:r>
    </w:p>
    <w:p>
      <w:pPr>
        <w:spacing w:before="200" w:after="80"/>
      </w:pPr>
      <w:r>
        <w:rPr>
          <w:b/>
          <w:i w:val="0"/>
          <w:sz w:val="22"/>
        </w:rPr>
        <w:t>3. Três vias para parar a atividade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Base legal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Natureza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Quem decide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Audiência prévia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Suspensão ou encerramento do alojamento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art.º 3.º-G do DL 276/2001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Procedimento administrativo, regido pelo CPA; medida de polícia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Diretor-geral, sob proposta da direção de serviços da região (n.º 2)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Sim, salvo dispensa por urgência (al. a) do n.º 1 do art.º 124.º do CPA)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Medida provisória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art.º 89.º do CPA, dentro do procedimento do art.º 3.º-G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Cautelar, acessória do procedimento; caduca com a decisão final ou nos termos do art.º 90.º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Órgão competente para a decisão final: diretor-geral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Não (n.º 2 do art.º 89.º); exige fundamentação e prazo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Medida cautelar contraordenacional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art.º 48.º do RJCE, dentro de um processo de contraordenação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Cautelar, acessória do processo sancionatório; recurso sem efeito suspensivo (n.º 3 do art.º 52.º)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Autoridade administrativa do processo: diretor-geral ou diretor do OPC instrutor (art.º 70.º do DL 276/2001)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Não (n.º 1 do art.º 48.º)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i w:val="0"/>
          <w:sz w:val="22"/>
        </w:rPr>
        <w:t>4. Por que razão o parecer prefere o art.º 89.º do CPA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A medida do art.º 48.º do RJCE só existe dentro de um processo de contraordenação já instaurado e tem de assentar em factos que constituam contraordenação autónoma. Os factos relativos aos maus-tratos e às condições de alojamento estão absorvidos pelo crime (art.º 27.º do RJCE: «Se o mesmo facto constituir simultaneamente crime e contraordenação económica o agente é punido a título de crime, sem prejuízo das sanções acessórias previstas para a contraordenação»). A medida teria de apoiar-se nos factos não absorvidos, sobretudo o «exercício ilegal de atividades» no Complexo B, que nunca teve comunicação prévia (al. a) do n.º 1 do art.º 68.º do DL 276/2001). É possível e é um fundamento limpo.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Mas a medida do RJCE segue a sorte do processo de contraordenação, não se liga ao procedimento de encerramento e pressupõe que esse processo esteja formalmente aberto, o que ainda não aconteceu. A medida provisória do art.º 89.º do CPA nasce dentro do próprio procedimento de encerramento, caduca com a decisão final e não depende de mais nada. Por isso é a primeira escolha.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O art.º 48.º do RJCE fica como alternativa ou complemento, a usar quando o processo de contraordenação pelos factos não absorvidos for instruído: por exemplo, para selar o Complexo B (al. d)) ou para impor a cessação da atividade nesse núcleo (al. b)).</w:t>
      </w:r>
    </w:p>
    <w:p>
      <w:pPr>
        <w:spacing w:before="200" w:after="80"/>
      </w:pPr>
      <w:r>
        <w:rPr>
          <w:b/>
          <w:i w:val="0"/>
          <w:sz w:val="22"/>
        </w:rPr>
        <w:t>5. Síntese para a pasta de acompanhamento</w:t>
      </w:r>
    </w:p>
    <w:p>
      <w:pPr>
        <w:spacing w:before="0" w:after="120"/>
        <w:ind w:left="340" w:hanging="227"/>
        <w:jc w:val="both"/>
      </w:pPr>
      <w:r>
        <w:rPr>
          <w:b w:val="0"/>
          <w:i w:val="0"/>
          <w:sz w:val="22"/>
        </w:rPr>
        <w:t>O RJCE aplica-se às contraordenações do DL 276/2001 desde 28.7.2021, por força da redação dada ao art.º 68.º pelo art.º 36.º do DL 9/2021.</w:t>
      </w:r>
    </w:p>
    <w:p>
      <w:pPr>
        <w:spacing w:before="0" w:after="120"/>
        <w:ind w:left="340" w:hanging="227"/>
        <w:jc w:val="both"/>
      </w:pPr>
      <w:r>
        <w:rPr>
          <w:b w:val="0"/>
          <w:i w:val="0"/>
          <w:sz w:val="22"/>
        </w:rPr>
        <w:t>O DL 276/2001 não tem medidas cautelares próprias; tem o art.º 3.º-G (administrativo), o n.º 8 do art.º 19.º (recolha), o art.º 67.º-A (acesso) e a al. a) do art.º 69.º (perda).</w:t>
      </w:r>
    </w:p>
    <w:p>
      <w:pPr>
        <w:spacing w:before="0" w:after="120"/>
        <w:ind w:left="340" w:hanging="227"/>
        <w:jc w:val="both"/>
      </w:pPr>
      <w:r>
        <w:rPr>
          <w:b w:val="0"/>
          <w:i w:val="0"/>
          <w:sz w:val="22"/>
        </w:rPr>
        <w:t>Para parar a atividade antes da decisão de encerramento, a via recomendada é a medida provisória do art.º 89.º do CPA; a via do art.º 48.º do RJCE exige processo de contraordenação aberto e factos não absorvidos pelo crime.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