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Documento de apoio interno. Acompanha a série de observações enviadas ponto a ponto.</w:t>
      </w:r>
    </w:p>
    <w:p>
      <w:pPr>
        <w:spacing w:before="360" w:after="120"/>
      </w:pPr>
      <w:r>
        <w:rPr>
          <w:b/>
          <w:color w:val="1F3B63"/>
          <w:sz w:val="26"/>
        </w:rPr>
        <w:t>Nota de utilização</w:t>
      </w:r>
    </w:p>
    <w:p>
      <w:pPr>
        <w:spacing w:after="120"/>
      </w:pPr>
      <w:r>
        <w:rPr>
          <w:b w:val="0"/>
          <w:i w:val="0"/>
          <w:sz w:val="21"/>
        </w:rPr>
        <w:t>Cada ponto da série de observações é enviado em texto curto, com um máximo de palavras fixado, para seguir na resposta à Direção de Serviços. Esse texto é deliberadamente contido: situa a norma, articula com a legislação vigente e com o Regulamento (UE) 2026/1818 e deixa a decisão à consideração de quem decide.</w:t>
      </w:r>
    </w:p>
    <w:p>
      <w:pPr>
        <w:spacing w:after="120"/>
      </w:pPr>
      <w:r>
        <w:rPr>
          <w:b w:val="0"/>
          <w:i w:val="0"/>
          <w:sz w:val="21"/>
        </w:rPr>
        <w:t>Este documento guarda o que fica de fora: a demonstração completa, as citações verbatim, a análise das alterações registadas no ficheiro, as inferências assumidas como tais e as fontes com referência exata. Serve para sustentar a posição se ela for questionada, e para que outra pessoa possa retomar o trabalho sem repetir a verificação.</w:t>
      </w:r>
    </w:p>
    <w:p>
      <w:pPr>
        <w:spacing w:after="120"/>
      </w:pPr>
      <w:r>
        <w:rPr>
          <w:b w:val="0"/>
          <w:i w:val="0"/>
          <w:sz w:val="21"/>
        </w:rPr>
        <w:t>É atualizado à medida que cada ponto é trabalhado. O registo de alterações está no fim.</w:t>
      </w:r>
    </w:p>
    <w:p>
      <w:pPr>
        <w:spacing w:before="360" w:after="120"/>
      </w:pPr>
      <w:r>
        <w:rPr>
          <w:b/>
          <w:color w:val="1F3B63"/>
          <w:sz w:val="26"/>
        </w:rPr>
        <w:t>Índice da série e numeração</w:t>
      </w:r>
    </w:p>
    <w:p>
      <w:pPr>
        <w:spacing w:after="120"/>
      </w:pPr>
      <w:r>
        <w:rPr>
          <w:b w:val="0"/>
          <w:i w:val="0"/>
          <w:sz w:val="21"/>
        </w:rPr>
        <w:t>A numeração é a da série de observações, e não a do diploma. Foi fixada à medida que os pontos foram sendo trabalhados; os pontos 01 e 02 estão fechados, os seguintes estão previstos e a ordem pode mudar.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tcPr>
          <w:p>
            <w:pPr>
              <w:spacing w:after="40"/>
            </w:pPr>
            <w:r/>
            <w:r>
              <w:rPr>
                <w:b/>
                <w:color w:val="1F3B63"/>
                <w:sz w:val="18"/>
              </w:rPr>
              <w:t>N.º</w:t>
            </w:r>
          </w:p>
        </w:tc>
        <w:tc>
          <w:tcPr>
            <w:tcW w:type="dxa" w:w="3515"/>
          </w:tcPr>
          <w:p>
            <w:pPr>
              <w:spacing w:after="40"/>
            </w:pPr>
            <w:r/>
            <w:r>
              <w:rPr>
                <w:b/>
                <w:color w:val="1F3B63"/>
                <w:sz w:val="18"/>
              </w:rPr>
              <w:t>Tema</w:t>
            </w:r>
          </w:p>
        </w:tc>
        <w:tc>
          <w:tcPr>
            <w:tcW w:type="dxa" w:w="2438"/>
          </w:tcPr>
          <w:p>
            <w:pPr>
              <w:spacing w:after="40"/>
            </w:pPr>
            <w:r/>
            <w:r>
              <w:rPr>
                <w:b/>
                <w:color w:val="1F3B63"/>
                <w:sz w:val="18"/>
              </w:rPr>
              <w:t>Norma principal</w:t>
            </w:r>
          </w:p>
        </w:tc>
        <w:tc>
          <w:tcPr>
            <w:tcW w:type="dxa" w:w="1134"/>
          </w:tcPr>
          <w:p>
            <w:pPr>
              <w:spacing w:after="40"/>
            </w:pPr>
            <w:r/>
            <w:r>
              <w:rPr>
                <w:b/>
                <w:color w:val="1F3B63"/>
                <w:sz w:val="18"/>
              </w:rPr>
              <w:t>Estado</w:t>
            </w:r>
          </w:p>
        </w:tc>
      </w:tr>
      <w:tr>
        <w:tc>
          <w:tcPr>
            <w:tcW w:type="dxa" w:w="567"/>
          </w:tcPr>
          <w:p>
            <w:pPr>
              <w:spacing w:after="40"/>
              <w:jc w:val="both"/>
            </w:pPr>
            <w:r/>
            <w:r>
              <w:rPr>
                <w:sz w:val="18"/>
              </w:rPr>
              <w:t>01</w:t>
            </w:r>
          </w:p>
        </w:tc>
        <w:tc>
          <w:tcPr>
            <w:tcW w:type="dxa" w:w="3515"/>
          </w:tcPr>
          <w:p>
            <w:pPr>
              <w:spacing w:after="40"/>
              <w:jc w:val="both"/>
            </w:pPr>
            <w:r/>
            <w:r>
              <w:rPr>
                <w:sz w:val="18"/>
              </w:rPr>
              <w:t>Estabelecimentos de comércio a retalho de animais de companhia: ausência da DGAV no procedimento</w:t>
            </w:r>
          </w:p>
        </w:tc>
        <w:tc>
          <w:tcPr>
            <w:tcW w:type="dxa" w:w="2438"/>
          </w:tcPr>
          <w:p>
            <w:pPr>
              <w:spacing w:after="40"/>
              <w:jc w:val="both"/>
            </w:pPr>
            <w:r/>
            <w:r>
              <w:rPr>
                <w:sz w:val="18"/>
              </w:rPr>
              <w:t>Art.º 16.º, n.º 4, e Anexo II</w:t>
            </w:r>
          </w:p>
        </w:tc>
        <w:tc>
          <w:tcPr>
            <w:tcW w:type="dxa" w:w="1134"/>
          </w:tcPr>
          <w:p>
            <w:pPr>
              <w:spacing w:after="40"/>
              <w:jc w:val="both"/>
            </w:pPr>
            <w:r/>
            <w:r>
              <w:rPr>
                <w:sz w:val="18"/>
              </w:rPr>
              <w:t>Fechado</w:t>
            </w:r>
          </w:p>
        </w:tc>
      </w:tr>
      <w:tr>
        <w:tc>
          <w:tcPr>
            <w:tcW w:type="dxa" w:w="567"/>
          </w:tcPr>
          <w:p>
            <w:pPr>
              <w:spacing w:after="40"/>
              <w:jc w:val="both"/>
            </w:pPr>
            <w:r/>
            <w:r>
              <w:rPr>
                <w:sz w:val="18"/>
              </w:rPr>
              <w:t>02</w:t>
            </w:r>
          </w:p>
        </w:tc>
        <w:tc>
          <w:tcPr>
            <w:tcW w:type="dxa" w:w="3515"/>
          </w:tcPr>
          <w:p>
            <w:pPr>
              <w:spacing w:after="40"/>
              <w:jc w:val="both"/>
            </w:pPr>
            <w:r/>
            <w:r>
              <w:rPr>
                <w:sz w:val="18"/>
              </w:rPr>
              <w:t>Animais de companhia na definição de atividade pecuária: a exclusão eliminada</w:t>
            </w:r>
          </w:p>
        </w:tc>
        <w:tc>
          <w:tcPr>
            <w:tcW w:type="dxa" w:w="2438"/>
          </w:tcPr>
          <w:p>
            <w:pPr>
              <w:spacing w:after="40"/>
              <w:jc w:val="both"/>
            </w:pPr>
            <w:r/>
            <w:r>
              <w:rPr>
                <w:sz w:val="18"/>
              </w:rPr>
              <w:t>Art.º 48.º, als. b) e c)</w:t>
            </w:r>
          </w:p>
        </w:tc>
        <w:tc>
          <w:tcPr>
            <w:tcW w:type="dxa" w:w="1134"/>
          </w:tcPr>
          <w:p>
            <w:pPr>
              <w:spacing w:after="40"/>
              <w:jc w:val="both"/>
            </w:pPr>
            <w:r/>
            <w:r>
              <w:rPr>
                <w:sz w:val="18"/>
              </w:rPr>
              <w:t>Fechado</w:t>
            </w:r>
          </w:p>
        </w:tc>
      </w:tr>
      <w:tr>
        <w:tc>
          <w:tcPr>
            <w:tcW w:type="dxa" w:w="567"/>
          </w:tcPr>
          <w:p>
            <w:pPr>
              <w:spacing w:after="40"/>
              <w:jc w:val="both"/>
            </w:pPr>
            <w:r/>
            <w:r>
              <w:rPr>
                <w:sz w:val="18"/>
              </w:rPr>
              <w:t>03</w:t>
            </w:r>
          </w:p>
        </w:tc>
        <w:tc>
          <w:tcPr>
            <w:tcW w:type="dxa" w:w="3515"/>
          </w:tcPr>
          <w:p>
            <w:pPr>
              <w:spacing w:after="40"/>
              <w:jc w:val="both"/>
            </w:pPr>
            <w:r/>
            <w:r>
              <w:rPr>
                <w:sz w:val="18"/>
              </w:rPr>
              <w:t>Deferimento tácito em atividades com animais vivos</w:t>
            </w:r>
          </w:p>
        </w:tc>
        <w:tc>
          <w:tcPr>
            <w:tcW w:type="dxa" w:w="2438"/>
          </w:tcPr>
          <w:p>
            <w:pPr>
              <w:spacing w:after="40"/>
              <w:jc w:val="both"/>
            </w:pPr>
            <w:r/>
            <w:r>
              <w:rPr>
                <w:sz w:val="18"/>
              </w:rPr>
              <w:t>Art.º 25.º, n.º 3</w:t>
            </w:r>
          </w:p>
        </w:tc>
        <w:tc>
          <w:tcPr>
            <w:tcW w:type="dxa" w:w="1134"/>
          </w:tcPr>
          <w:p>
            <w:pPr>
              <w:spacing w:after="40"/>
              <w:jc w:val="both"/>
            </w:pPr>
            <w:r/>
            <w:r>
              <w:rPr>
                <w:sz w:val="18"/>
              </w:rPr>
              <w:t>Fechado</w:t>
            </w:r>
          </w:p>
        </w:tc>
      </w:tr>
      <w:tr>
        <w:tc>
          <w:tcPr>
            <w:tcW w:type="dxa" w:w="567"/>
          </w:tcPr>
          <w:p>
            <w:pPr>
              <w:spacing w:after="40"/>
              <w:jc w:val="both"/>
            </w:pPr>
            <w:r/>
            <w:r>
              <w:rPr>
                <w:sz w:val="18"/>
              </w:rPr>
              <w:t>04</w:t>
            </w:r>
          </w:p>
        </w:tc>
        <w:tc>
          <w:tcPr>
            <w:tcW w:type="dxa" w:w="3515"/>
          </w:tcPr>
          <w:p>
            <w:pPr>
              <w:spacing w:after="40"/>
              <w:jc w:val="both"/>
            </w:pPr>
            <w:r/>
            <w:r>
              <w:rPr>
                <w:sz w:val="18"/>
              </w:rPr>
              <w:t>Cláusula de articulação com o regime dos animais de companhia e com o Regulamento</w:t>
            </w:r>
          </w:p>
        </w:tc>
        <w:tc>
          <w:tcPr>
            <w:tcW w:type="dxa" w:w="2438"/>
          </w:tcPr>
          <w:p>
            <w:pPr>
              <w:spacing w:after="40"/>
              <w:jc w:val="both"/>
            </w:pPr>
            <w:r/>
            <w:r>
              <w:rPr>
                <w:sz w:val="18"/>
              </w:rPr>
              <w:t>Art.ºs 2.º e 36.º, n.º 3</w:t>
            </w:r>
          </w:p>
        </w:tc>
        <w:tc>
          <w:tcPr>
            <w:tcW w:type="dxa" w:w="1134"/>
          </w:tcPr>
          <w:p>
            <w:pPr>
              <w:spacing w:after="40"/>
              <w:jc w:val="both"/>
            </w:pPr>
            <w:r/>
            <w:r>
              <w:rPr>
                <w:sz w:val="18"/>
              </w:rPr>
              <w:t>Previsto</w:t>
            </w:r>
          </w:p>
        </w:tc>
      </w:tr>
      <w:tr>
        <w:tc>
          <w:tcPr>
            <w:tcW w:type="dxa" w:w="567"/>
          </w:tcPr>
          <w:p>
            <w:pPr>
              <w:spacing w:after="40"/>
              <w:jc w:val="both"/>
            </w:pPr>
            <w:r/>
            <w:r>
              <w:rPr>
                <w:sz w:val="18"/>
              </w:rPr>
              <w:t>05</w:t>
            </w:r>
          </w:p>
        </w:tc>
        <w:tc>
          <w:tcPr>
            <w:tcW w:type="dxa" w:w="3515"/>
          </w:tcPr>
          <w:p>
            <w:pPr>
              <w:spacing w:after="40"/>
              <w:jc w:val="both"/>
            </w:pPr>
            <w:r/>
            <w:r>
              <w:rPr>
                <w:sz w:val="18"/>
              </w:rPr>
              <w:t>Recolha de animais errantes: delimitação às espécies pecuárias</w:t>
            </w:r>
          </w:p>
        </w:tc>
        <w:tc>
          <w:tcPr>
            <w:tcW w:type="dxa" w:w="2438"/>
          </w:tcPr>
          <w:p>
            <w:pPr>
              <w:spacing w:after="40"/>
              <w:jc w:val="both"/>
            </w:pPr>
            <w:r/>
            <w:r>
              <w:rPr>
                <w:sz w:val="18"/>
              </w:rPr>
              <w:t>Art.ºs 57.º e 59.º</w:t>
            </w:r>
          </w:p>
        </w:tc>
        <w:tc>
          <w:tcPr>
            <w:tcW w:type="dxa" w:w="1134"/>
          </w:tcPr>
          <w:p>
            <w:pPr>
              <w:spacing w:after="40"/>
              <w:jc w:val="both"/>
            </w:pPr>
            <w:r/>
            <w:r>
              <w:rPr>
                <w:sz w:val="18"/>
              </w:rPr>
              <w:t>Previsto</w:t>
            </w:r>
          </w:p>
        </w:tc>
      </w:tr>
      <w:tr>
        <w:tc>
          <w:tcPr>
            <w:tcW w:type="dxa" w:w="567"/>
          </w:tcPr>
          <w:p>
            <w:pPr>
              <w:spacing w:after="40"/>
              <w:jc w:val="both"/>
            </w:pPr>
            <w:r/>
            <w:r>
              <w:rPr>
                <w:sz w:val="18"/>
              </w:rPr>
              <w:t>06</w:t>
            </w:r>
          </w:p>
        </w:tc>
        <w:tc>
          <w:tcPr>
            <w:tcW w:type="dxa" w:w="3515"/>
          </w:tcPr>
          <w:p>
            <w:pPr>
              <w:spacing w:after="40"/>
              <w:jc w:val="both"/>
            </w:pPr>
            <w:r/>
            <w:r>
              <w:rPr>
                <w:sz w:val="18"/>
              </w:rPr>
              <w:t>Venda em comércio não sedentário, feiras e leilões: falta de articulação</w:t>
            </w:r>
          </w:p>
        </w:tc>
        <w:tc>
          <w:tcPr>
            <w:tcW w:type="dxa" w:w="2438"/>
          </w:tcPr>
          <w:p>
            <w:pPr>
              <w:spacing w:after="40"/>
              <w:jc w:val="both"/>
            </w:pPr>
            <w:r/>
            <w:r>
              <w:rPr>
                <w:sz w:val="18"/>
              </w:rPr>
              <w:t>Art.ºs 133.º, n.º 2, e 153.º, n.º 1</w:t>
            </w:r>
          </w:p>
        </w:tc>
        <w:tc>
          <w:tcPr>
            <w:tcW w:type="dxa" w:w="1134"/>
          </w:tcPr>
          <w:p>
            <w:pPr>
              <w:spacing w:after="40"/>
              <w:jc w:val="both"/>
            </w:pPr>
            <w:r/>
            <w:r>
              <w:rPr>
                <w:sz w:val="18"/>
              </w:rPr>
              <w:t>Previsto</w:t>
            </w:r>
          </w:p>
        </w:tc>
      </w:tr>
      <w:tr>
        <w:tc>
          <w:tcPr>
            <w:tcW w:type="dxa" w:w="567"/>
          </w:tcPr>
          <w:p>
            <w:pPr>
              <w:spacing w:after="40"/>
              <w:jc w:val="both"/>
            </w:pPr>
            <w:r/>
            <w:r>
              <w:rPr>
                <w:sz w:val="18"/>
              </w:rPr>
              <w:t>07</w:t>
            </w:r>
          </w:p>
        </w:tc>
        <w:tc>
          <w:tcPr>
            <w:tcW w:type="dxa" w:w="3515"/>
          </w:tcPr>
          <w:p>
            <w:pPr>
              <w:spacing w:after="40"/>
              <w:jc w:val="both"/>
            </w:pPr>
            <w:r/>
            <w:r>
              <w:rPr>
                <w:sz w:val="18"/>
              </w:rPr>
              <w:t>Venda e publicidade em linha</w:t>
            </w:r>
          </w:p>
        </w:tc>
        <w:tc>
          <w:tcPr>
            <w:tcW w:type="dxa" w:w="2438"/>
          </w:tcPr>
          <w:p>
            <w:pPr>
              <w:spacing w:after="40"/>
              <w:jc w:val="both"/>
            </w:pPr>
            <w:r/>
            <w:r>
              <w:rPr>
                <w:sz w:val="18"/>
              </w:rPr>
              <w:t>Art.º 1.º, n.º 4</w:t>
            </w:r>
          </w:p>
        </w:tc>
        <w:tc>
          <w:tcPr>
            <w:tcW w:type="dxa" w:w="1134"/>
          </w:tcPr>
          <w:p>
            <w:pPr>
              <w:spacing w:after="40"/>
              <w:jc w:val="both"/>
            </w:pPr>
            <w:r/>
            <w:r>
              <w:rPr>
                <w:sz w:val="18"/>
              </w:rPr>
              <w:t>Previsto</w:t>
            </w:r>
          </w:p>
        </w:tc>
      </w:tr>
      <w:tr>
        <w:tc>
          <w:tcPr>
            <w:tcW w:type="dxa" w:w="567"/>
          </w:tcPr>
          <w:p>
            <w:pPr>
              <w:spacing w:after="40"/>
              <w:jc w:val="both"/>
            </w:pPr>
            <w:r/>
            <w:r>
              <w:rPr>
                <w:sz w:val="18"/>
              </w:rPr>
              <w:t>08</w:t>
            </w:r>
          </w:p>
        </w:tc>
        <w:tc>
          <w:tcPr>
            <w:tcW w:type="dxa" w:w="3515"/>
          </w:tcPr>
          <w:p>
            <w:pPr>
              <w:spacing w:after="40"/>
              <w:jc w:val="both"/>
            </w:pPr>
            <w:r/>
            <w:r>
              <w:rPr>
                <w:sz w:val="18"/>
              </w:rPr>
              <w:t>Acesso de animais de companhia a estabelecimentos</w:t>
            </w:r>
          </w:p>
        </w:tc>
        <w:tc>
          <w:tcPr>
            <w:tcW w:type="dxa" w:w="2438"/>
          </w:tcPr>
          <w:p>
            <w:pPr>
              <w:spacing w:after="40"/>
              <w:jc w:val="both"/>
            </w:pPr>
            <w:r/>
            <w:r>
              <w:rPr>
                <w:sz w:val="18"/>
              </w:rPr>
              <w:t>Art.º 38.º</w:t>
            </w:r>
          </w:p>
        </w:tc>
        <w:tc>
          <w:tcPr>
            <w:tcW w:type="dxa" w:w="1134"/>
          </w:tcPr>
          <w:p>
            <w:pPr>
              <w:spacing w:after="40"/>
              <w:jc w:val="both"/>
            </w:pPr>
            <w:r/>
            <w:r>
              <w:rPr>
                <w:sz w:val="18"/>
              </w:rPr>
              <w:t>Previsto</w:t>
            </w:r>
          </w:p>
        </w:tc>
      </w:tr>
      <w:tr>
        <w:tc>
          <w:tcPr>
            <w:tcW w:type="dxa" w:w="567"/>
          </w:tcPr>
          <w:p>
            <w:pPr>
              <w:spacing w:after="40"/>
              <w:jc w:val="both"/>
            </w:pPr>
            <w:r/>
            <w:r>
              <w:rPr>
                <w:sz w:val="18"/>
              </w:rPr>
              <w:t>09</w:t>
            </w:r>
          </w:p>
        </w:tc>
        <w:tc>
          <w:tcPr>
            <w:tcW w:type="dxa" w:w="3515"/>
          </w:tcPr>
          <w:p>
            <w:pPr>
              <w:spacing w:after="40"/>
              <w:jc w:val="both"/>
            </w:pPr>
            <w:r/>
            <w:r>
              <w:rPr>
                <w:sz w:val="18"/>
              </w:rPr>
              <w:t>SIAC, base de dados setorial e cadastro</w:t>
            </w:r>
          </w:p>
        </w:tc>
        <w:tc>
          <w:tcPr>
            <w:tcW w:type="dxa" w:w="2438"/>
          </w:tcPr>
          <w:p>
            <w:pPr>
              <w:spacing w:after="40"/>
              <w:jc w:val="both"/>
            </w:pPr>
            <w:r/>
            <w:r>
              <w:rPr>
                <w:sz w:val="18"/>
              </w:rPr>
              <w:t>Art.ºs 198.º a 200.º</w:t>
            </w:r>
          </w:p>
        </w:tc>
        <w:tc>
          <w:tcPr>
            <w:tcW w:type="dxa" w:w="1134"/>
          </w:tcPr>
          <w:p>
            <w:pPr>
              <w:spacing w:after="40"/>
              <w:jc w:val="both"/>
            </w:pPr>
            <w:r/>
            <w:r>
              <w:rPr>
                <w:sz w:val="18"/>
              </w:rPr>
              <w:t>Previsto</w:t>
            </w:r>
          </w:p>
        </w:tc>
      </w:tr>
      <w:tr>
        <w:tc>
          <w:tcPr>
            <w:tcW w:type="dxa" w:w="567"/>
          </w:tcPr>
          <w:p>
            <w:pPr>
              <w:spacing w:after="40"/>
              <w:jc w:val="both"/>
            </w:pPr>
            <w:r/>
            <w:r>
              <w:rPr>
                <w:sz w:val="18"/>
              </w:rPr>
              <w:t>10</w:t>
            </w:r>
          </w:p>
        </w:tc>
        <w:tc>
          <w:tcPr>
            <w:tcW w:type="dxa" w:w="3515"/>
          </w:tcPr>
          <w:p>
            <w:pPr>
              <w:spacing w:after="40"/>
              <w:jc w:val="both"/>
            </w:pPr>
            <w:r/>
            <w:r>
              <w:rPr>
                <w:sz w:val="18"/>
              </w:rPr>
              <w:t>Lapsos formais com efeito material</w:t>
            </w:r>
          </w:p>
        </w:tc>
        <w:tc>
          <w:tcPr>
            <w:tcW w:type="dxa" w:w="2438"/>
          </w:tcPr>
          <w:p>
            <w:pPr>
              <w:spacing w:after="40"/>
              <w:jc w:val="both"/>
            </w:pPr>
            <w:r/>
            <w:r>
              <w:rPr>
                <w:sz w:val="18"/>
              </w:rPr>
              <w:t>Anexo V; numeração da Secção III</w:t>
            </w:r>
          </w:p>
        </w:tc>
        <w:tc>
          <w:tcPr>
            <w:tcW w:type="dxa" w:w="1134"/>
          </w:tcPr>
          <w:p>
            <w:pPr>
              <w:spacing w:after="40"/>
              <w:jc w:val="both"/>
            </w:pPr>
            <w:r/>
            <w:r>
              <w:rPr>
                <w:sz w:val="18"/>
              </w:rPr>
              <w:t>Previsto</w:t>
            </w:r>
          </w:p>
        </w:tc>
      </w:tr>
    </w:tbl>
    <w:p>
      <w:pPr>
        <w:spacing w:after="80"/>
      </w:pPr>
    </w:p>
    <w:p>
      <w:pPr>
        <w:spacing w:after="120"/>
      </w:pPr>
      <w:r>
        <w:rPr>
          <w:b w:val="0"/>
          <w:i w:val="0"/>
          <w:color w:val="555555"/>
          <w:sz w:val="19"/>
        </w:rPr>
        <w:t>Nota sobre a renumeração: a ordem seguida na primeira análise global, registada no contributo interno de 5 de outubro de 2026, era diferente. O tema que ali figurava como ponto 6, sobre a fronteira entre detenção caseira e animal de companhia, passou a ser o ponto 02 desta série e absorveu aquele. Os restantes desceram uma posição.</w:t>
      </w: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2.5-B. A norma de bem-estar aplicável: os fios já abertos no ficheiro</w:t>
      </w:r>
    </w:p>
    <w:p>
      <w:pPr>
        <w:spacing w:after="120"/>
      </w:pPr>
      <w:r>
        <w:rPr>
          <w:b w:val="0"/>
          <w:i w:val="0"/>
          <w:sz w:val="21"/>
        </w:rPr>
        <w:t>A observação enviada na quarta versão abandona a proposta de redação e passa a colocar uma dúvida de aplicação: a detenção caseira de coelhos ou de pequenos roedores por lazer fica sujeita a que normas de bem-estar? A escolha tem três fundamentos.</w:t>
      </w:r>
    </w:p>
    <w:p>
      <w:pPr>
        <w:spacing w:after="120"/>
      </w:pPr>
      <w:r>
        <w:rPr>
          <w:b w:val="0"/>
          <w:i w:val="0"/>
          <w:sz w:val="21"/>
        </w:rPr>
        <w:t>O primeiro é que a questão já está aberta no documento, e foi aberta do lado do Gabinete. No parágrafo que hoje é o n.º 1 do art.º 54.º, que manda o operador agir «no respeito pelas normas de bem-estar animal», está um comentário de Paulo Meireles de Oliveira a observar que essas normas «parecem decorrer dos regimes complementares e não revogados» e a enumerá-las: o Decreto-Lei n.º 64/2000, o n.º 48/2001 relativo a vitelos, o n.º 72-F/2003 relativo a galinhas poedeiras e o n.º 135/2003 relativo a suínos. O Gabinete encaminhou com «@Pecuária» e a resposta registada foi «Ponderar junto da DGAV e DGADR». Há dois encaminhamentos equivalentes: na linha dos leporídeos do art.º 50.º, «Ver com DGAV e DGADR», e na epígrafe do art.º 51.º, «Verificar com DGAV e DGADR». A observação responde a um fio aberto, não abre um novo.</w:t>
      </w:r>
    </w:p>
    <w:p>
      <w:pPr>
        <w:spacing w:after="120"/>
      </w:pPr>
      <w:r>
        <w:rPr>
          <w:b w:val="0"/>
          <w:i w:val="0"/>
          <w:sz w:val="21"/>
        </w:rPr>
        <w:t>Note-se o que falta na enumeração do revisor: leporídeos e roedores. Não por omissão, mas porque para essas espécies as normas estão em portaria.</w:t>
      </w:r>
    </w:p>
    <w:p>
      <w:pPr>
        <w:spacing w:after="120"/>
      </w:pPr>
      <w:r>
        <w:rPr>
          <w:b w:val="0"/>
          <w:i w:val="0"/>
          <w:sz w:val="21"/>
        </w:rPr>
        <w:t>O segundo fundamento é que o diploma dá pistas de resposta e nenhuma é conclusiva. O art.º 2.º enumera os regimes a articular e não inclui o Decreto-Lei n.º 276/2001. O art.º 36.º, n.º 1, manda cumprir requisitos de higiene e de saúde pública, e o seu n.º 3 refere a legislação aplicável aos «produtos». O art.º 50.º, n.º 1, al. e), habilita portaria sobre a «detenção e produção pecuária» de leporídeos e outras espécies. O art.º 51.º remete para o Decreto-Lei n.º 142/2006. E o art.º 54.º manda respeitar «as normas de bem-estar animal» e «as normas de funcionamento previstas para as espécies», sem as identificar.</w:t>
      </w:r>
    </w:p>
    <w:p>
      <w:pPr>
        <w:spacing w:after="120"/>
      </w:pPr>
      <w:r>
        <w:rPr>
          <w:b w:val="0"/>
          <w:i w:val="0"/>
          <w:sz w:val="21"/>
        </w:rPr>
        <w:t>O terceiro é a delimitação correta do vazio, que obriga a corrigir uma afirmação feita antes nesta análise. Não é exato que as únicas normas específicas para coelhos e pequenos roedores estejam no art.º 26.º e no Anexo II do Decreto-Lei n.º 276/2001. A Portaria n.º 635/2009, de 9 de junho, estabelece as normas regulamentares da detenção e produção pecuária de leporídeos em explorações e núcleos de produção cunícula, armazéns e centros de agrupamento, identifica três sistemas de produção, entre eles o de animais de companhia, e fixa requisitos de instalações e medidas sanitárias. A cláusula da al. b) do art.º 48.º tem, por isso, contrapartida regulamentar desde 2009.</w:t>
      </w:r>
    </w:p>
    <w:p>
      <w:pPr>
        <w:spacing w:after="120"/>
      </w:pPr>
      <w:r>
        <w:rPr>
          <w:b w:val="0"/>
          <w:i w:val="0"/>
          <w:sz w:val="21"/>
        </w:rPr>
        <w:t>O vazio é, então, outro e mais estreito. Aquela portaria assenta nas classes do regime pecuário e a detenção caseira criada pelo projeto situa-se abaixo da classe 3, que subsiste no n.º 4 do art.º 16.º para capacidades até 15 CN, e é expressamente isenta de licenciamento. A pergunta é se uma detenção isenta de licenciamento é alcançada por regulamentação construída sobre as classes de licenciamento. Se for, aplicam-se a um animal de estimação requisitos de isolamento térmico, de lavabilidade de paredes e pavimentos e de vazio sanitário entre lotes, que são parâmetros de produção. Se não for, não se aplica norma alguma.</w:t>
      </w:r>
    </w:p>
    <w:p>
      <w:pPr>
        <w:spacing w:after="120"/>
      </w:pPr>
      <w:r>
        <w:rPr>
          <w:b w:val="0"/>
          <w:i w:val="0"/>
          <w:sz w:val="21"/>
        </w:rPr>
        <w:t>Risco a antecipar: a resposta pode ser «aplica-se a Portaria n.º 635/2009». O contra-argumento é o do parágrafo anterior, e foi deliberadamente deixado fora da observação enviada, para que esta se mantenha como dúvida e não se transforme em alegação.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240" w:after="80"/>
      </w:pPr>
      <w:r>
        <w:rPr>
          <w:b/>
          <w:color w:val="1F3B63"/>
          <w:sz w:val="22"/>
        </w:rPr>
        <w:t>2.5-C. A ligação à lista positiva de animais de companhia</w:t>
      </w:r>
    </w:p>
    <w:p>
      <w:pPr>
        <w:spacing w:after="120"/>
      </w:pPr>
      <w:r>
        <w:rPr>
          <w:b w:val="0"/>
          <w:i w:val="0"/>
          <w:sz w:val="21"/>
        </w:rPr>
        <w:t>A questão do ponto 02 é, no fundo, de classificação: a lei decide o regime de bem-estar nomeando espécies, e a mesma espécie acaba em dois regimes. A Lei da Saúde Animal dá o critério da finalidade mas não diz quais as espécies que podem ser detidas como animais de companhia. O instrumento que fecha essa questão é a lista positiva, e o projeto de RGAC já a prevê.</w:t>
      </w:r>
    </w:p>
    <w:p>
      <w:pPr>
        <w:spacing w:after="40"/>
        <w:ind w:left="454" w:right="227"/>
      </w:pPr>
      <w:r>
        <w:rPr>
          <w:i/>
          <w:sz w:val="19"/>
        </w:rPr>
        <w:t>«3 - Sem prejuízo do disposto nos n.ºs anteriores, serão considerados animais de companhia aqueles que vierem a integrar a lista positiva de animais de companhia (ou lista nacional de animais de companhia), a publicar em Portaria dos membros do Governo responsáveis pelas áreas da agricultura e do ambiente.»</w:t>
      </w:r>
    </w:p>
    <w:p>
      <w:pPr>
        <w:spacing w:after="160"/>
        <w:ind w:left="454"/>
      </w:pPr>
      <w:r>
        <w:rPr>
          <w:color w:val="555555"/>
          <w:sz w:val="17"/>
        </w:rPr>
        <w:t>n.º 3 do art.º 4.º do projeto de RGAC, versão de trabalho de 30.6.2026. O n.º 4 do mesmo artigo exclui a fauna selvagem indígena e não indígena, as espécies da Lista Nacional de Espécies Invasoras, as inscritas na CITES e as perigosas e exóticas sujeitas a legislação especial; o n.º 5 permite à DGAV a exclusão cautelar imediata de uma espécie.</w:t>
      </w:r>
    </w:p>
    <w:p>
      <w:pPr>
        <w:spacing w:after="120"/>
      </w:pPr>
      <w:r>
        <w:rPr>
          <w:b w:val="0"/>
          <w:i w:val="0"/>
          <w:sz w:val="21"/>
        </w:rPr>
        <w:t>A figura vem do RGBEAC de junho de 2025, onde é apresentada como uma das principais inovações, com referência comparada à Bélgica, aos Países Baixos, à Finlândia, à França e a Chipre.</w:t>
      </w:r>
    </w:p>
    <w:p>
      <w:pPr>
        <w:spacing w:after="120"/>
      </w:pPr>
      <w:r>
        <w:rPr>
          <w:b/>
          <w:i w:val="0"/>
          <w:sz w:val="21"/>
        </w:rPr>
        <w:t>Daqui resulta um argumento de legística, concreto e verificável: há duas habilitações regulamentares concorrentes sobre o mesmo ato, a detenção, relativamente à mesma espécie.</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Instrumento</w:t>
            </w:r>
          </w:p>
        </w:tc>
        <w:tc>
          <w:tcPr>
            <w:tcW w:type="dxa" w:w="3685"/>
          </w:tcPr>
          <w:p>
            <w:pPr>
              <w:spacing w:after="40"/>
            </w:pPr>
            <w:r/>
            <w:r>
              <w:rPr>
                <w:b/>
                <w:color w:val="1F3B63"/>
                <w:sz w:val="18"/>
              </w:rPr>
              <w:t>Objeto</w:t>
            </w:r>
          </w:p>
        </w:tc>
        <w:tc>
          <w:tcPr>
            <w:tcW w:type="dxa" w:w="2268"/>
          </w:tcPr>
          <w:p>
            <w:pPr>
              <w:spacing w:after="40"/>
            </w:pPr>
            <w:r/>
            <w:r>
              <w:rPr>
                <w:b/>
                <w:color w:val="1F3B63"/>
                <w:sz w:val="18"/>
              </w:rPr>
              <w:t>Portaria de quem</w:t>
            </w:r>
          </w:p>
        </w:tc>
      </w:tr>
      <w:tr>
        <w:tc>
          <w:tcPr>
            <w:tcW w:type="dxa" w:w="2835"/>
          </w:tcPr>
          <w:p>
            <w:pPr>
              <w:spacing w:after="40"/>
              <w:jc w:val="both"/>
            </w:pPr>
            <w:r/>
            <w:r>
              <w:rPr>
                <w:sz w:val="18"/>
              </w:rPr>
              <w:t>Art.º 4.º, n.º 3, do projeto de RGAC</w:t>
            </w:r>
          </w:p>
        </w:tc>
        <w:tc>
          <w:tcPr>
            <w:tcW w:type="dxa" w:w="3685"/>
          </w:tcPr>
          <w:p>
            <w:pPr>
              <w:spacing w:after="40"/>
              <w:jc w:val="both"/>
            </w:pPr>
            <w:r/>
            <w:r>
              <w:rPr>
                <w:sz w:val="18"/>
              </w:rPr>
              <w:t>Lista positiva de animais de companhia, que determina quais as espécies qualificadas como animais de companhia</w:t>
            </w:r>
          </w:p>
        </w:tc>
        <w:tc>
          <w:tcPr>
            <w:tcW w:type="dxa" w:w="2268"/>
          </w:tcPr>
          <w:p>
            <w:pPr>
              <w:spacing w:after="40"/>
              <w:jc w:val="both"/>
            </w:pPr>
            <w:r/>
            <w:r>
              <w:rPr>
                <w:sz w:val="18"/>
              </w:rPr>
              <w:t>Membros do Governo responsáveis pela agricultura e pelo ambiente</w:t>
            </w:r>
          </w:p>
        </w:tc>
      </w:tr>
      <w:tr>
        <w:tc>
          <w:tcPr>
            <w:tcW w:type="dxa" w:w="2835"/>
          </w:tcPr>
          <w:p>
            <w:pPr>
              <w:spacing w:after="40"/>
              <w:jc w:val="both"/>
            </w:pPr>
            <w:r/>
            <w:r>
              <w:rPr>
                <w:sz w:val="18"/>
              </w:rPr>
              <w:t>Art.º 50.º, n.º 1, al. e), do anexo do projeto de DL das atividades económicas</w:t>
            </w:r>
          </w:p>
        </w:tc>
        <w:tc>
          <w:tcPr>
            <w:tcW w:type="dxa" w:w="3685"/>
          </w:tcPr>
          <w:p>
            <w:pPr>
              <w:spacing w:after="40"/>
              <w:jc w:val="both"/>
            </w:pPr>
            <w:r/>
            <w:r>
              <w:rPr>
                <w:sz w:val="18"/>
              </w:rPr>
              <w:t>Normas regulamentares aplicáveis à «detenção e produção pecuária» de «Leporídeos e outras espécies»</w:t>
            </w:r>
          </w:p>
        </w:tc>
        <w:tc>
          <w:tcPr>
            <w:tcW w:type="dxa" w:w="2268"/>
          </w:tcPr>
          <w:p>
            <w:pPr>
              <w:spacing w:after="40"/>
              <w:jc w:val="both"/>
            </w:pPr>
            <w:r/>
            <w:r>
              <w:rPr>
                <w:sz w:val="18"/>
              </w:rPr>
              <w:t>Membro do Governo responsável pela agricultura e pelo desenvolvimento rural</w:t>
            </w:r>
          </w:p>
        </w:tc>
      </w:tr>
    </w:tbl>
    <w:p>
      <w:pPr>
        <w:spacing w:after="80"/>
      </w:pPr>
    </w:p>
    <w:p>
      <w:pPr>
        <w:spacing w:after="120"/>
      </w:pPr>
      <w:r>
        <w:rPr>
          <w:b w:val="0"/>
          <w:i w:val="0"/>
          <w:sz w:val="21"/>
        </w:rPr>
        <w:t>Mesma espécie, mesmo ato, duas portarias, conjuntos de signatários diferentes e nenhuma regra de articulação entre elas. A que for publicada primeiro fixa, por omissão, o regime do coelho ou do roedor detido por companhia.</w:t>
      </w:r>
    </w:p>
    <w:p>
      <w:pPr>
        <w:spacing w:after="120"/>
      </w:pPr>
      <w:r>
        <w:rPr>
          <w:b w:val="0"/>
          <w:i w:val="0"/>
          <w:sz w:val="21"/>
        </w:rPr>
        <w:t>E há um argumento substantivo que decorre deste. A lista positiva só tem efeito útil se a qualificação tiver consequências. Se uma espécie puder constar da lista positiva de animais de companhia e ser, simultaneamente e sem distinção, espécie pecuária na mesma situação de detenção, a lista passa a ser um rótulo sem regime associado. A alteração assinalada no ponto 02 não afeta, por isso, apenas o Decreto-Lei n.º 276/2001: afeta o instrumento central do regime que estamos a preparar.</w:t>
      </w:r>
    </w:p>
    <w:p>
      <w:pPr>
        <w:spacing w:after="120"/>
      </w:pPr>
      <w:r>
        <w:rPr>
          <w:b w:val="0"/>
          <w:i w:val="0"/>
          <w:sz w:val="21"/>
        </w:rPr>
        <w:t>Ressalva: o Regulamento (UE) 2026/1818 não prevê listas positivas. A pesquisa das expressões «lista positiva» e «positive list» nas versões portuguesa e inglesa do texto publicado não devolve ocorrências. A âncora desta figura é nacional e comparada, não europeia.</w:t>
      </w:r>
    </w:p>
    <w:p>
      <w:pPr>
        <w:spacing w:after="120"/>
      </w:pPr>
      <w:r>
        <w:rPr>
          <w:b w:val="0"/>
          <w:i w:val="0"/>
          <w:sz w:val="21"/>
        </w:rPr>
        <w:t>Incoerência interna do RGAC que esta análise expõe, e que deve seguir para o memorando de acompanhamento: o n.º 2 do art.º 2.º qualifica as espécies da Parte B do Anexo I do Regulamento (UE) 2016/429 como animais de companhia «quando detidos para fins de companhia», enquanto o n.º 2 do art.º 4.º diz que essas espécies «são também considerados animais de companhia», sem o critério finalista. Sem esse critério, todo o coelho seria animal de companhia, incluindo o da cunicultura. É o lapso simétrico do que se assinala ao Gabinete.</w:t>
      </w:r>
    </w:p>
    <w:p>
      <w:pPr>
        <w:spacing w:after="120"/>
      </w:pPr>
      <w:r>
        <w:rPr>
          <w:b w:val="0"/>
          <w:i w:val="0"/>
          <w:sz w:val="21"/>
        </w:rPr>
        <w:t>Nota de oportunidade: este argumento foi deliberadamente deixado fora da observação 02 enviada. Serve melhor como resposta de segunda volta, caso a resposta à dúvida de aplicação venha a ser a de que se aplica a portaria da pecuária. Jogado antes, permite que a articulação seja resolvida contra nós no próprio texto.</w:t>
      </w:r>
    </w:p>
    <w:p>
      <w:pPr>
        <w:spacing w:before="360" w:after="120"/>
      </w:pPr>
      <w:r>
        <w:rPr>
          <w:b/>
          <w:color w:val="1F3B63"/>
          <w:sz w:val="26"/>
        </w:rPr>
        <w:t>Ponto 03 — Deferimento tácito em atividades com animais vivos</w:t>
      </w:r>
    </w:p>
    <w:p>
      <w:pPr>
        <w:spacing w:before="240" w:after="80"/>
      </w:pPr>
      <w:r>
        <w:rPr>
          <w:b/>
          <w:color w:val="1F3B63"/>
          <w:sz w:val="22"/>
        </w:rPr>
        <w:t>3.1. A regra no projeto</w:t>
      </w:r>
    </w:p>
    <w:p>
      <w:pPr>
        <w:spacing w:after="120"/>
      </w:pPr>
      <w:r>
        <w:rPr>
          <w:b w:val="0"/>
          <w:i w:val="0"/>
          <w:sz w:val="21"/>
        </w:rPr>
        <w:t>O preâmbulo declara a intenção: o regime é consonante com a ação governativa no sentido de «consagrar como regra o deferimento tácito, sustentado pela confiança e responsabilidade dos operadores económicos». A concretização está no artigo 25.º do anexo.</w:t>
      </w:r>
    </w:p>
    <w:p>
      <w:pPr>
        <w:spacing w:after="40"/>
        <w:ind w:left="454" w:right="227"/>
      </w:pPr>
      <w:r>
        <w:rPr>
          <w:i/>
          <w:sz w:val="19"/>
        </w:rPr>
        <w:t>«3 - Caso não seja emitida pronúncia no prazo definido no n.º 1, considera-se que a mesma é favorável à pretensão do requerente.»</w:t>
      </w:r>
    </w:p>
    <w:p>
      <w:pPr>
        <w:spacing w:after="160"/>
        <w:ind w:left="454"/>
      </w:pPr>
      <w:r>
        <w:rPr>
          <w:color w:val="555555"/>
          <w:sz w:val="17"/>
        </w:rPr>
        <w:t>n.º 3 do art.º 25.º («Pronúncia das entidades públicas consultadas e deferimento tácito») do anexo, na versão de 25.9.2026. O n.º 4 prevê a emissão de certidão com menção expressa ao deferimento, sem taxa.</w:t>
      </w:r>
    </w:p>
    <w:p>
      <w:pPr>
        <w:spacing w:after="120"/>
      </w:pPr>
      <w:r>
        <w:rPr>
          <w:b w:val="0"/>
          <w:i w:val="0"/>
          <w:sz w:val="21"/>
        </w:rPr>
        <w:t>Os prazos são os do Anexo III. Para as consultas sem prazo próprio aplica-se a linha residual «Outras consultas — 20 dias»; para os regimes em matéria de segurança da cadeia alimentar, 30 dias.</w:t>
      </w:r>
    </w:p>
    <w:p>
      <w:pPr>
        <w:spacing w:after="120"/>
      </w:pPr>
      <w:r>
        <w:rPr>
          <w:b w:val="0"/>
          <w:i w:val="0"/>
          <w:sz w:val="21"/>
        </w:rPr>
        <w:t>Importa delimitar o alcance. O deferimento tácito do art.º 25.º opera no procedimento de comunicação com prazo e no de comunicação com prazo e vistoria, que são os que têm fase de pronúncia. No procedimento de comunicação prévia não há deferimento tácito porque não há decisão a diferir: o n.º 3 do art.º 29.º determina que o título é emitido automaticamente com a apresentação. São duas insuficiências distintas, e esta observação respeita à primeira.</w:t>
      </w:r>
    </w:p>
    <w:p>
      <w:pPr>
        <w:spacing w:before="240" w:after="80"/>
      </w:pPr>
      <w:r>
        <w:rPr>
          <w:b/>
          <w:color w:val="1F3B63"/>
          <w:sz w:val="22"/>
        </w:rPr>
        <w:t>3.2. A legislação vigente afasta-o expressamente neste domínio</w:t>
      </w:r>
    </w:p>
    <w:p>
      <w:pPr>
        <w:spacing w:after="120"/>
      </w:pPr>
      <w:r>
        <w:rPr>
          <w:b w:val="0"/>
          <w:i w:val="0"/>
          <w:sz w:val="21"/>
        </w:rPr>
        <w:t>Quando a decisão respeita à detenção de animais, o legislador nacional excluiu o deferimento tácito em termos inequívocos:</w:t>
      </w:r>
    </w:p>
    <w:p>
      <w:pPr>
        <w:spacing w:after="40"/>
        <w:ind w:left="454" w:right="227"/>
      </w:pPr>
      <w:r>
        <w:rPr>
          <w:i/>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160"/>
        <w:ind w:left="454"/>
      </w:pPr>
      <w:r>
        <w:rPr>
          <w:color w:val="555555"/>
          <w:sz w:val="17"/>
        </w:rPr>
        <w:t>n.º 2 do art.º 3.º-D do Decreto-Lei n.º 276/2001, de 17 de outubro, na redação dada pelo Decreto-Lei n.º 20/2019, de 30 de janeiro. Norma vigente.</w:t>
      </w:r>
    </w:p>
    <w:p>
      <w:pPr>
        <w:spacing w:after="120"/>
      </w:pPr>
      <w:r>
        <w:rPr>
          <w:b w:val="0"/>
          <w:i w:val="0"/>
          <w:sz w:val="21"/>
        </w:rPr>
        <w:t>A norma respeita à permissão administrativa dos alojamentos destinados à reprodução e criação de animais potencialmente perigosos, o caso em que o regime dos animais de companhia exige decisão expressa. O projeto de RGAC reproduz a solução no n.º 2 do seu art.º 47.º. Não se trata, portanto, de uma pretensão nova desta Direção de Serviços: é a solução que o ordenamento já consagra para decisões desta natureza.</w:t>
      </w:r>
    </w:p>
    <w:p>
      <w:pPr>
        <w:spacing w:before="240" w:after="80"/>
      </w:pPr>
      <w:r>
        <w:rPr>
          <w:b/>
          <w:color w:val="1F3B63"/>
          <w:sz w:val="22"/>
        </w:rPr>
        <w:t>3.3. E o direito da União vai no mesmo sentido</w:t>
      </w:r>
    </w:p>
    <w:p>
      <w:pPr>
        <w:spacing w:after="40"/>
        <w:ind w:left="454" w:right="227"/>
      </w:pPr>
      <w:r>
        <w:rPr>
          <w:i/>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breeding establishment has been approved by the competent authority. 2. The competent authority shall perform on-site inspections to verify that the breeding establishment meets the requirements of this Regulation. [...] The competent authority shall grant certificates of approval only to breeding establishments that meet the requirements of this Regulation.»</w:t>
      </w:r>
    </w:p>
    <w:p>
      <w:pPr>
        <w:spacing w:after="160"/>
        <w:ind w:left="454"/>
      </w:pPr>
      <w:r>
        <w:rPr>
          <w:color w:val="555555"/>
          <w:sz w:val="17"/>
        </w:rPr>
        <w:t>art.º 10.º, n.ºs 1 e 2, do Regulamento (UE) 2026/1818 — versão inglesa, JO L, 2026/1818, de 10.8.2026.</w:t>
      </w:r>
    </w:p>
    <w:p>
      <w:pPr>
        <w:spacing w:after="40"/>
        <w:ind w:left="454" w:right="227"/>
      </w:pPr>
      <w:r>
        <w:rPr>
          <w:i/>
          <w:sz w:val="19"/>
        </w:rPr>
        <w:t>«1.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 2. A autoridade competente efetua inspeções no local para verificar se o estabelecimento de criação cumpre os requisitos do presente regulamento. [...] A autoridade competente só deve conceder certificados de aprovação a estabelecimentos de criação que cumpram os requisitos do presente regulamento.»</w:t>
      </w:r>
    </w:p>
    <w:p>
      <w:pPr>
        <w:spacing w:after="160"/>
        <w:ind w:left="454"/>
      </w:pPr>
      <w:r>
        <w:rPr>
          <w:color w:val="555555"/>
          <w:sz w:val="17"/>
        </w:rPr>
        <w:t>art.º 10.º, n.ºs 1 e 2, do Regulamento (UE) 2026/1818 — versão portuguesa.</w:t>
      </w:r>
    </w:p>
    <w:p>
      <w:pPr>
        <w:spacing w:after="120"/>
      </w:pPr>
      <w:r>
        <w:rPr>
          <w:b w:val="0"/>
          <w:i w:val="0"/>
          <w:sz w:val="21"/>
        </w:rPr>
        <w:t>O art.º 10.º é aplicável a partir de 31 de agosto de 2034, nos termos da al. f) do art.º 33.º. Note-se a natureza da exigência: a colocação no mercado depende de aprovação, e a aprovação depende de inspeção no local, não podendo o certificado ser concedido a estabelecimento que não cumpra. Uma aprovação obtida por silêncio administrativo é incompatível com esta construção.</w:t>
      </w:r>
    </w:p>
    <w:p>
      <w:pPr>
        <w:spacing w:before="240" w:after="80"/>
      </w:pPr>
      <w:r>
        <w:rPr>
          <w:b/>
          <w:color w:val="1F3B63"/>
          <w:sz w:val="22"/>
        </w:rPr>
        <w:t>3.4. O que o artigo 31.º revela</w:t>
      </w:r>
    </w:p>
    <w:p>
      <w:pPr>
        <w:spacing w:after="120"/>
      </w:pPr>
      <w:r>
        <w:rPr>
          <w:b w:val="0"/>
          <w:i w:val="0"/>
          <w:sz w:val="21"/>
        </w:rPr>
        <w:t>O art.º 31.º enumera as causas de indeferimento e de não emissão do título. Entre as dezenas de circunstâncias previstas, a única referência à DGAV é a da al. f), relativa à «Decisão desfavorável quanto à atribuição do NCV ou NII», isto é, matéria de segurança da cadeia alimentar e de subprodutos. Não há qualquer causa de indeferimento fundada em pronúncia desfavorável em matéria de saúde ou de bem-estar animal, o que é coerente com a ausência da DGAV no procedimento das atividades que detêm animais de companhia, assinalada no ponto 01.</w:t>
      </w:r>
    </w:p>
    <w:p>
      <w:pPr>
        <w:spacing w:before="240" w:after="80"/>
      </w:pPr>
      <w:r>
        <w:rPr>
          <w:b/>
          <w:color w:val="1F3B63"/>
          <w:sz w:val="22"/>
        </w:rPr>
        <w:t>3.5. Um efeito colateral fora do nosso âmbito, a sinalizar internamente</w:t>
      </w:r>
    </w:p>
    <w:p>
      <w:pPr>
        <w:spacing w:after="120"/>
      </w:pPr>
      <w:r>
        <w:rPr>
          <w:b w:val="0"/>
          <w:i w:val="0"/>
          <w:sz w:val="21"/>
        </w:rPr>
        <w:t>O n.º 1 do art.º 14.º do anexo determina que os estabelecimentos abrangidos pelo n.º 2 do art.º 4.º do Regulamento (CE) n.º 853/2004, pelo art.º 10.º do Regulamento (CE) n.º 183/2005 e pelo art.º 44.º do Regulamento (CE) n.º 1069/2009 «só podem iniciar a atividade após realização de vistoria e aprovação pela DGAV». Conjugado com o n.º 3 do art.º 25.º e com a linha de 30 dias do Anexo III, coloca-se a questão de saber se o silêncio da DGAV pode valer como aprovação sanitária para efeitos daqueles regulamentos. A matéria é da competência dos serviços de segurança alimentar e de subprodutos, não desta Direção de Serviços, mas deve ser-lhes sinalizada.</w:t>
      </w:r>
    </w:p>
    <w:p>
      <w:pPr>
        <w:spacing w:before="240" w:after="80"/>
      </w:pPr>
      <w:r>
        <w:rPr>
          <w:b/>
          <w:color w:val="1F3B63"/>
          <w:sz w:val="22"/>
        </w:rPr>
        <w:t>3.6. Fontes do ponto 03</w:t>
      </w:r>
    </w:p>
    <w:p>
      <w:pPr>
        <w:pStyle w:val="ListBullet"/>
        <w:spacing w:after="60"/>
        <w:jc w:val="both"/>
      </w:pPr>
      <w:r>
        <w:rPr>
          <w:sz w:val="21"/>
        </w:rPr>
        <w:t>Projeto: preâmbulo; art.ºs 14.º, 21.º, 25.º, 29.º e 31.º do anexo; Anexo III.</w:t>
      </w:r>
    </w:p>
    <w:p>
      <w:pPr>
        <w:pStyle w:val="ListBullet"/>
        <w:spacing w:after="60"/>
        <w:jc w:val="both"/>
      </w:pPr>
      <w:r>
        <w:rPr>
          <w:sz w:val="21"/>
        </w:rPr>
        <w:t>Decreto-Lei n.º 276/2001, de 17 de outubro — art.ºs 3.º, 3.º-B, 3.º-C e 3.º-D, n.º 2, na redação do Decreto-Lei n.º 20/2019, de 30 de janeiro.</w:t>
      </w:r>
    </w:p>
    <w:p>
      <w:pPr>
        <w:pStyle w:val="ListBullet"/>
        <w:spacing w:after="60"/>
        <w:jc w:val="both"/>
      </w:pPr>
      <w:r>
        <w:rPr>
          <w:sz w:val="21"/>
        </w:rPr>
        <w:t>Regulamento (UE) 2026/1818 — art.º 10.º, n.ºs 1 e 2, e al. f) do art.º 33.º, nas versões inglesa e portuguesa.</w:t>
      </w:r>
    </w:p>
    <w:p>
      <w:pPr>
        <w:pStyle w:val="ListBullet"/>
        <w:spacing w:after="60"/>
        <w:jc w:val="both"/>
      </w:pPr>
      <w:r>
        <w:rPr>
          <w:sz w:val="21"/>
        </w:rPr>
        <w:t>Projeto de RGAC — n.º 2 do art.º 47.º. Trabalho em curso, citado como tal.</w:t>
      </w:r>
    </w:p>
    <w:p>
      <w:pPr>
        <w:spacing w:before="240" w:after="80"/>
      </w:pPr>
      <w:r>
        <w:rPr>
          <w:b/>
          <w:color w:val="1F3B63"/>
          <w:sz w:val="22"/>
        </w:rPr>
        <w:t>3.7. Verificações pendentes</w:t>
      </w:r>
    </w:p>
    <w:p>
      <w:pPr>
        <w:pStyle w:val="ListBullet"/>
        <w:spacing w:after="60"/>
        <w:jc w:val="both"/>
      </w:pPr>
      <w:r>
        <w:rPr>
          <w:sz w:val="21"/>
        </w:rPr>
        <w:t>Confirmar se o regime geral do Código do Procedimento Administrativo e a legislação de segurança alimentar admitem, ou não, aprovação sanitária por deferimento tácito, para fundamentar o ponto 3.5.</w:t>
      </w:r>
    </w:p>
    <w:p>
      <w:pPr>
        <w:pStyle w:val="ListBullet"/>
        <w:spacing w:after="60"/>
        <w:jc w:val="both"/>
      </w:pPr>
      <w:r>
        <w:rPr>
          <w:sz w:val="21"/>
        </w:rPr>
        <w:t>Confirmar se existe prática ou orientação da DGAV sobre prazos de pronúncia no SIR e no SI REAP que permita estimar o risco real de o prazo de 20 dias ser excedido.</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p>
      <w:pPr>
        <w:spacing w:before="360" w:after="120"/>
      </w:pPr>
      <w:r>
        <w:rPr>
          <w:b/>
          <w:color w:val="1F3B63"/>
          <w:sz w:val="26"/>
        </w:rPr>
        <w:t>Registo de alterações</w:t>
      </w:r>
    </w:p>
    <w:tbl>
      <w:tblPr>
        <w:tblStyle w:val="TableGrid"/>
        <w:tblW w:type="auto" w:w="0"/>
        <w:jc w:val="center"/>
        <w:tblLook w:firstColumn="1" w:firstRow="1" w:lastColumn="0" w:lastRow="0" w:noHBand="0" w:noVBand="1" w:val="04A0"/>
      </w:tblPr>
      <w:tblGrid>
        <w:gridCol w:w="4703"/>
        <w:gridCol w:w="4703"/>
      </w:tblGrid>
      <w:tr>
        <w:tc>
          <w:tcPr>
            <w:tcW w:type="dxa" w:w="1361"/>
          </w:tcPr>
          <w:p>
            <w:pPr>
              <w:spacing w:after="40"/>
            </w:pPr>
            <w:r/>
            <w:r>
              <w:rPr>
                <w:b/>
                <w:color w:val="1F3B63"/>
                <w:sz w:val="18"/>
              </w:rPr>
              <w:t>Data</w:t>
            </w:r>
          </w:p>
        </w:tc>
        <w:tc>
          <w:tcPr>
            <w:tcW w:type="dxa" w:w="7427"/>
          </w:tcPr>
          <w:p>
            <w:pPr>
              <w:spacing w:after="40"/>
            </w:pPr>
            <w:r/>
            <w:r>
              <w:rPr>
                <w:b/>
                <w:color w:val="1F3B63"/>
                <w:sz w:val="18"/>
              </w:rPr>
              <w:t>Alteração</w:t>
            </w:r>
          </w:p>
        </w:tc>
      </w:tr>
      <w:tr>
        <w:tc>
          <w:tcPr>
            <w:tcW w:type="dxa" w:w="1361"/>
          </w:tcPr>
          <w:p>
            <w:pPr>
              <w:spacing w:after="40"/>
              <w:jc w:val="both"/>
            </w:pPr>
            <w:r/>
            <w:r>
              <w:rPr>
                <w:sz w:val="18"/>
              </w:rPr>
              <w:t>6.10.2026</w:t>
            </w:r>
          </w:p>
        </w:tc>
        <w:tc>
          <w:tcPr>
            <w:tcW w:type="dxa" w:w="7427"/>
          </w:tcPr>
          <w:p>
            <w:pPr>
              <w:spacing w:after="40"/>
              <w:jc w:val="both"/>
            </w:pPr>
            <w:r/>
            <w:r>
              <w:rPr>
                <w:sz w:val="18"/>
              </w:rPr>
              <w:t>Fundamentação do ponto 03, sobre o deferimento tácito, com o achado de que a exclusão do deferimento tácito em decisões sobre detenção de animais já consta da lei vigente, no n.º 2 do artigo 3.º-D do Decreto-Lei n.º 276/2001, e não apenas do projeto de RGAC.</w:t>
            </w:r>
          </w:p>
        </w:tc>
      </w:tr>
      <w:tr>
        <w:tc>
          <w:tcPr>
            <w:tcW w:type="dxa" w:w="1361"/>
          </w:tcPr>
          <w:p>
            <w:pPr>
              <w:spacing w:after="40"/>
              <w:jc w:val="both"/>
            </w:pPr>
            <w:r/>
            <w:r>
              <w:rPr>
                <w:sz w:val="18"/>
              </w:rPr>
              <w:t>6.10.2026</w:t>
            </w:r>
          </w:p>
        </w:tc>
        <w:tc>
          <w:tcPr>
            <w:tcW w:type="dxa" w:w="7427"/>
          </w:tcPr>
          <w:p>
            <w:pPr>
              <w:spacing w:after="40"/>
              <w:jc w:val="both"/>
            </w:pPr>
            <w:r/>
            <w:r>
              <w:rPr>
                <w:sz w:val="18"/>
              </w:rPr>
              <w:t>Criação do documento. Índice da série e numeração. Fundamentação dos pontos 01 e 02.</w:t>
            </w:r>
          </w:p>
        </w:tc>
      </w:tr>
      <w:tr>
        <w:tc>
          <w:tcPr>
            <w:tcW w:type="dxa" w:w="1361"/>
          </w:tcPr>
          <w:p>
            <w:pPr>
              <w:spacing w:after="40"/>
              <w:jc w:val="both"/>
            </w:pPr>
            <w:r/>
            <w:r>
              <w:rPr>
                <w:sz w:val="18"/>
              </w:rPr>
              <w:t>6.10.2026</w:t>
            </w:r>
          </w:p>
        </w:tc>
        <w:tc>
          <w:tcPr>
            <w:tcW w:type="dxa" w:w="7427"/>
          </w:tcPr>
          <w:p>
            <w:pPr>
              <w:spacing w:after="40"/>
              <w:jc w:val="both"/>
            </w:pPr>
            <w:r/>
            <w:r>
              <w:rPr>
                <w:sz w:val="18"/>
              </w:rPr>
              <w:t>Ponto 2.5-C: ligação à lista positiva de animais de companhia do n.º 3 do artigo 4.º do projeto de RGAC, com a colisão das duas habilitações regulamentares sobre a detenção da mesma espécie, e a incoerência interna do RGAC entre o n.º 2 do artigo 2.º e o n.º 2 do artigo 4.º, a remeter para o memorando de acompanhamento.</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quarta versão, 197 palavras: deixa de propor redação e passa a colocar uma dúvida de aplicação sobre a norma de bem-estar aplicável à detenção caseira, ligando-se a um fio já aberto no ficheiro. Acrescentado o ponto 2.5-B, com os três encaminhamentos para a DGAV registados no documento e com a correção relativa à Portaria n.º 635/2009, que estreita a delimitação do vazio.</w:t>
            </w:r>
          </w:p>
        </w:tc>
      </w:tr>
      <w:tr>
        <w:tc>
          <w:tcPr>
            <w:tcW w:type="dxa" w:w="1361"/>
          </w:tcPr>
          <w:p>
            <w:pPr>
              <w:spacing w:after="40"/>
              <w:jc w:val="both"/>
            </w:pPr>
            <w:r/>
            <w:r>
              <w:rPr>
                <w:sz w:val="18"/>
              </w:rPr>
              <w:t>6.10.2026</w:t>
            </w:r>
          </w:p>
        </w:tc>
        <w:tc>
          <w:tcPr>
            <w:tcW w:type="dxa" w:w="7427"/>
          </w:tcPr>
          <w:p>
            <w:pPr>
              <w:spacing w:after="40"/>
              <w:jc w:val="both"/>
            </w:pPr>
            <w:r/>
            <w:r>
              <w:rPr>
                <w:sz w:val="18"/>
              </w:rPr>
              <w:t>Observações 02 ajustadas: a alternativa de repor a exclusão eliminada foi substituída pela adoção do critério finalista com ressalva das obrigações de identificação e registo, por se reconhecer que a reposição reabriria um vazio. Acrescentado o ponto 2.5-A, sobre o que a alteração resolve e que a lei atual não resolve.</w:t>
            </w:r>
          </w:p>
        </w:tc>
      </w:tr>
      <w:tr>
        <w:tc>
          <w:tcPr>
            <w:tcW w:type="dxa" w:w="1361"/>
          </w:tcPr>
          <w:p>
            <w:pPr>
              <w:spacing w:after="40"/>
              <w:jc w:val="both"/>
            </w:pPr>
            <w:r/>
            <w:r>
              <w:rPr>
                <w:sz w:val="18"/>
              </w:rPr>
              <w:t>6.10.2026</w:t>
            </w:r>
          </w:p>
        </w:tc>
        <w:tc>
          <w:tcPr>
            <w:tcW w:type="dxa" w:w="7427"/>
          </w:tcPr>
          <w:p>
            <w:pPr>
              <w:spacing w:after="40"/>
              <w:jc w:val="both"/>
            </w:pPr>
            <w:r/>
            <w:r>
              <w:rPr>
                <w:sz w:val="18"/>
              </w:rPr>
              <w:t>Secção transversal sobre a Lei da Saúde Animal, Regulamento (UE) 2016/429, que enquadra os pontos 01, 02 e 09. Observações 02 em terceira versão, com o alerta reduzido ao essencial e o enquadramento no Decreto-Lei n.º 276/2001 e na Lei da Saúde Animal.</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segunda versão, em linguagem corrente e em registo de dúvida, a pedido. A primeira versão fica no processo. Ambas assentam na fundamentação deste ponto 02, que não foi alterada.</w:t>
            </w:r>
          </w:p>
        </w:tc>
      </w:tr>
      <w:tr>
        <w:tc>
          <w:tcPr>
            <w:tcW w:type="dxa" w:w="1361"/>
          </w:tcPr>
          <w:p>
            <w:pPr>
              <w:spacing w:after="40"/>
              <w:jc w:val="both"/>
            </w:pPr>
            <w:r/>
            <w:r>
              <w:rPr>
                <w:sz w:val="18"/>
              </w:rPr>
              <w:t>6.10.2026</w:t>
            </w:r>
          </w:p>
        </w:tc>
        <w:tc>
          <w:tcPr>
            <w:tcW w:type="dxa" w:w="7427"/>
          </w:tcPr>
          <w:p>
            <w:pPr>
              <w:spacing w:after="40"/>
              <w:jc w:val="both"/>
            </w:pPr>
            <w:r/>
            <w:r>
              <w:rPr>
                <w:sz w:val="18"/>
              </w:rPr>
              <w:t>Correção ao contributo interno de 5.10.2026: o seu ponto 5.4 afirmava que a venda de animais em feiras e no comércio não sedentário ficava sem requisitos de bem-estar. O n.º 6 do art.º 35.º do Decreto-Lei n.º 276/2001 proíbe a venda ambulante de animais de companhia e o mesmo artigo fixa as condições da venda em feiras e mercados, com mera comunicação prévia à câmara para vistoria pelo médico veterinário municipal. Não há lacuna, há falta de articulação. O tema passou ao ponto 06 desta série.</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