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1.24</w:t>
            </w:r>
          </w:p>
        </w:tc>
      </w:tr>
      <w:tr>
        <w:tc>
          <w:tcPr>
            <w:tcW w:w="2551" w:type="dxa"/>
          </w:tcPr>
          <w:p>
            <w:pPr>
              <w:spacing w:after="60"/>
            </w:pPr>
            <w:r/>
            <w:r>
              <w:rPr>
                <w:b/>
                <w:sz w:val="20"/>
              </w:rPr>
              <w:t>Data</w:t>
            </w:r>
          </w:p>
        </w:tc>
        <w:tc>
          <w:tcPr>
            <w:tcW w:w="6520" w:type="dxa"/>
          </w:tcPr>
          <w:p>
            <w:pPr>
              <w:spacing w:after="60"/>
            </w:pPr>
            <w:r/>
            <w:r>
              <w:rPr>
                <w:b w:val="0"/>
                <w:sz w:val="20"/>
              </w:rPr>
              <w:t>20.10.2026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0"/>
        <w:ind w:left="567"/>
      </w:pPr>
      <w:r>
        <w:rPr>
          <w:b w:val="0"/>
          <w:i w:val="0"/>
        </w:rPr>
        <w:t>P-48. Nada sobre animais de companhia em acidente grave ou catástrofe (art. 25.º)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P-45. A recolha por razões de bem-estar passa da DGAV para as câmaras e o destino para o médico veterinário municipal (art. 91.º)</w:t>
      </w:r>
    </w:p>
    <w:p>
      <w:pPr>
        <w:spacing w:after="0"/>
        <w:ind w:left="567"/>
      </w:pPr>
      <w:r>
        <w:rPr>
          <w:b w:val="0"/>
          <w:i w:val="0"/>
        </w:rPr>
        <w:t>P-37. Quem acolhe um animal errante pode ficar sem saída lícita (art. 94.º)</w:t>
      </w:r>
    </w:p>
    <w:p>
      <w:pPr>
        <w:spacing w:after="0"/>
        <w:ind w:left="567"/>
      </w:pPr>
      <w:r>
        <w:rPr>
          <w:b w:val="0"/>
          <w:i w:val="0"/>
        </w:rPr>
        <w:t>P-46.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P-49. Duas vias para retirar a classificação de perigoso, sem ligação entre elas (art. 120.º)</w:t>
      </w:r>
    </w:p>
    <w:p>
      <w:pPr>
        <w:spacing w:after="40"/>
      </w:pPr>
    </w:p>
    <w:p>
      <w:pPr>
        <w:spacing w:after="40"/>
      </w:pPr>
      <w:r>
        <w:rPr>
          <w:b/>
          <w:i w:val="0"/>
        </w:rPr>
        <w:t>10. Capítulo XV. Medidas administrativas, fiscalização e contraordenações</w:t>
      </w:r>
    </w:p>
    <w:p>
      <w:pPr>
        <w:spacing w:after="0"/>
        <w:ind w:left="567"/>
      </w:pPr>
      <w:r>
        <w:rPr>
          <w:b w:val="0"/>
          <w:i w:val="0"/>
        </w:rPr>
        <w:t>P-47. A apreensão provisória serve só as contraordenações e admite devolver os animais ao local de origem (art. 139.º)</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40"/>
      </w:pPr>
    </w:p>
    <w:p>
      <w:pPr>
        <w:spacing w:after="40"/>
      </w:pPr>
      <w:r>
        <w:rPr>
          <w:b/>
          <w:i w:val="0"/>
        </w:rPr>
        <w:t>11. Capítulo XVI. Disposições complementares, finais e transitórias</w:t>
      </w:r>
    </w:p>
    <w:p>
      <w:pPr>
        <w:spacing w:after="0"/>
        <w:ind w:left="567"/>
      </w:pPr>
      <w:r>
        <w:rPr>
          <w:b w:val="0"/>
          <w:i w:val="0"/>
        </w:rPr>
        <w:t>P-07. As portarias mantidas usam detentor no sentido antigo (art. 149.º)</w:t>
      </w:r>
    </w:p>
    <w:p>
      <w:pPr>
        <w:spacing w:after="0"/>
        <w:ind w:left="567"/>
      </w:pPr>
      <w:r>
        <w:rPr>
          <w:b w:val="0"/>
          <w:i w:val="0"/>
        </w:rPr>
        <w:t>P-43. A revogação total da Lei 92/95 apaga normas que não tratam de animais de companhia (art. 149.º)</w:t>
      </w:r>
    </w:p>
    <w:p>
      <w:pPr>
        <w:spacing w:after="0"/>
        <w:ind w:left="567"/>
      </w:pPr>
      <w:r>
        <w:rPr>
          <w:b w:val="0"/>
          <w:i w:val="0"/>
        </w:rPr>
        <w:t>P-44. O DL 74/2007 é ressalvado e revogado ao mesmo tempo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P-46,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P-48.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P-46).</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P-46</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P-45.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P-43)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 P-47, P-46</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pPr>
        <w:pStyle w:val="Heading2"/>
      </w:pPr>
      <w:r>
        <w:rPr>
          <w:i w:val="0"/>
          <w:color w:val="000000"/>
        </w:rPr>
        <w:t>P-46.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P-48, P-05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P-49.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P-47.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P-46, P-42</w:t>
            </w:r>
          </w:p>
        </w:tc>
      </w:tr>
    </w:tbl>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 Ponderar uma norma geral como a da Lei 92/95, art. 12.º, n.º 1, ou pelo menos coima expressa, com a gravidade que hoje tem no DL 276/2001 (art. 68.º, n.º 2, al. d)), para o art. 8.º, n.º 1 (morte sem motivo legítimo). Ver P-43.</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 P-43</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P-43.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P-42).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P-06</w:t>
            </w:r>
          </w:p>
        </w:tc>
      </w:tr>
    </w:tbl>
    <w:p/>
    <w:p>
      <w:pPr>
        <w:pStyle w:val="Heading2"/>
      </w:pPr>
      <w:r>
        <w:rPr>
          <w:i w:val="0"/>
          <w:color w:val="000000"/>
        </w:rPr>
        <w:t>P-44.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6"/>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P-48</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P-45</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P-46</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P-49</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P-47</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P-43</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P-44</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49 fichas, das quais 45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24</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19</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c>
          <w:tcPr>
            <w:tcW w:w="1701" w:type="dxa"/>
          </w:tcPr>
          <w:p>
            <w:pPr>
              <w:spacing w:after="60"/>
            </w:pPr>
            <w:r/>
            <w:r>
              <w:rPr>
                <w:b w:val="0"/>
                <w:sz w:val="20"/>
              </w:rPr>
              <w:t>3</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56</w:t>
            </w:r>
          </w:p>
        </w:tc>
        <w:tc>
          <w:tcPr>
            <w:tcW w:w="1701" w:type="dxa"/>
          </w:tcPr>
          <w:p>
            <w:pPr>
              <w:spacing w:after="60"/>
            </w:pPr>
            <w:r/>
            <w:r>
              <w:rPr>
                <w:b/>
                <w:sz w:val="20"/>
              </w:rPr>
              <w:t>97</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P-48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 P-46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P-45,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P-45, P-46, P-48,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P-49,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P-43,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 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(21)</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(11)</w:t>
      </w:r>
    </w:p>
    <w:p>
      <w:pPr>
        <w:spacing w:after="20"/>
        <w:ind w:left="454"/>
      </w:pPr>
      <w:r>
        <w:rPr>
          <w:b w:val="0"/>
          <w:i w:val="0"/>
        </w:rPr>
        <w:t>P-41. Duas normas diferentes sobre que espécies são animais de companhia (art. 2.º, cap. I)</w:t>
      </w:r>
    </w:p>
    <w:p>
      <w:pPr>
        <w:spacing w:after="20"/>
        <w:ind w:left="454"/>
      </w:pPr>
      <w:r>
        <w:rPr>
          <w:b w:val="0"/>
          <w:i w:val="0"/>
        </w:rPr>
        <w:t>P-48. Nada sobre animais de companhia em acidente grave ou catástrofe (art. 25.º,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P-49. Duas vias para retirar a classificação de perigoso, sem ligação entre elas (art. 120.º, cap. XIV)</w:t>
      </w:r>
    </w:p>
    <w:p>
      <w:pPr>
        <w:spacing w:after="20"/>
        <w:ind w:left="454"/>
      </w:pPr>
      <w:r>
        <w:rPr>
          <w:b w:val="0"/>
          <w:i w:val="0"/>
        </w:rPr>
        <w:t>P-47. A apreensão provisória serve só as contraordenações e admite devolver os animais ao local de origem (art. 139.º, cap. XV)</w:t>
      </w:r>
    </w:p>
    <w:p>
      <w:pPr>
        <w:pStyle w:val="Heading2"/>
      </w:pPr>
      <w:r>
        <w:rPr>
          <w:i w:val="0"/>
          <w:color w:val="000000"/>
        </w:rPr>
        <w:t>Estabelecimentos e operadores (3)</w:t>
      </w:r>
    </w:p>
    <w:p>
      <w:pPr>
        <w:spacing w:after="20"/>
        <w:ind w:left="454"/>
      </w:pPr>
      <w:r>
        <w:rPr>
          <w:b w:val="0"/>
          <w:i w:val="0"/>
        </w:rPr>
        <w:t>P-12. Redação por decidir no art. 22.º (art. 22.º, cap. IV)</w:t>
      </w:r>
    </w:p>
    <w:p>
      <w:pPr>
        <w:spacing w:after="20"/>
        <w:ind w:left="454"/>
      </w:pPr>
      <w:r>
        <w:rPr>
          <w:b w:val="0"/>
          <w:i w:val="0"/>
        </w:rPr>
        <w:t>P-48. Nada sobre animais de companhia em acidente grave ou catástrofe (art. 25.º, cap. IV)</w:t>
      </w:r>
    </w:p>
    <w:p>
      <w:pPr>
        <w:spacing w:after="20"/>
        <w:ind w:left="454"/>
      </w:pPr>
      <w:r>
        <w:rPr>
          <w:b w:val="0"/>
          <w:i w:val="0"/>
        </w:rPr>
        <w:t>P-42. Os deveres dos CRO e o relatório anual ficam sem coima (art. 140.º, cap. XV)</w:t>
      </w:r>
    </w:p>
    <w:p>
      <w:pPr>
        <w:pStyle w:val="Heading2"/>
      </w:pPr>
      <w:r>
        <w:rPr>
          <w:i w:val="0"/>
          <w:color w:val="000000"/>
        </w:rPr>
        <w:t>Fiscalização e contraordenações (6)</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P-47. A apreensão provisória serve só as contraordenações e admite devolver os animais ao local de origem (art. 139.º, cap. XV)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spacing w:after="20"/>
        <w:ind w:left="454"/>
      </w:pPr>
      <w:r>
        <w:rPr>
          <w:b w:val="0"/>
          <w:i w:val="0"/>
        </w:rPr>
        <w:t>P-43. A revogação total da Lei 92/95 apaga normas que não tratam de animais de companhia (art. 149.º, cap. XVI)</w:t>
      </w:r>
    </w:p>
    <w:p>
      <w:pPr>
        <w:pStyle w:val="Heading2"/>
      </w:pPr>
      <w:r>
        <w:rPr>
          <w:i w:val="0"/>
          <w:color w:val="000000"/>
        </w:rPr>
        <w:t>Disposições finais e revogações (3)</w:t>
      </w:r>
    </w:p>
    <w:p>
      <w:pPr>
        <w:spacing w:after="20"/>
        <w:ind w:left="454"/>
      </w:pPr>
      <w:r>
        <w:rPr>
          <w:b w:val="0"/>
          <w:i w:val="0"/>
        </w:rPr>
        <w:t>P-07. As portarias mantidas usam detentor no sentido antigo (art. 149.º, cap. XVI)</w:t>
      </w:r>
    </w:p>
    <w:p>
      <w:pPr>
        <w:spacing w:after="20"/>
        <w:ind w:left="454"/>
      </w:pPr>
      <w:r>
        <w:rPr>
          <w:b w:val="0"/>
          <w:i w:val="0"/>
        </w:rPr>
        <w:t>P-43. A revogação total da Lei 92/95 apaga normas que não tratam de animais de companhia (art. 149.º, cap. XVI)</w:t>
      </w:r>
    </w:p>
    <w:p>
      <w:pPr>
        <w:spacing w:after="20"/>
        <w:ind w:left="454"/>
      </w:pPr>
      <w:r>
        <w:rPr>
          <w:b w:val="0"/>
          <w:i w:val="0"/>
        </w:rPr>
        <w:t>P-44. O DL 74/2007 é ressalvado e revogado ao mesmo tempo (art. 149.º, cap. XVI)</w:t>
      </w:r>
    </w:p>
    <w:p>
      <w:pPr>
        <w:pStyle w:val="Heading2"/>
      </w:pPr>
      <w:r>
        <w:rPr>
          <w:i w:val="0"/>
          <w:color w:val="000000"/>
        </w:rPr>
        <w:t>Bem-estar e deveres de detenção (4)</w:t>
      </w:r>
    </w:p>
    <w:p>
      <w:pPr>
        <w:spacing w:after="20"/>
        <w:ind w:left="454"/>
      </w:pPr>
      <w:r>
        <w:rPr>
          <w:b w:val="0"/>
          <w:i w:val="0"/>
        </w:rPr>
        <w:t>P-40. A amarração no domicílio fica sem duração máxima nem requisitos verificáveis (art. 19.º, cap. II)</w:t>
      </w:r>
    </w:p>
    <w:p>
      <w:pPr>
        <w:spacing w:after="20"/>
        <w:ind w:left="454"/>
      </w:pPr>
      <w:r>
        <w:rPr>
          <w:b w:val="0"/>
          <w:i w:val="0"/>
        </w:rPr>
        <w:t>P-48. Nada sobre animais de companhia em acidente grave ou catástrofe (art. 25.º,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P-43. A revogação total da Lei 92/95 apaga normas que não tratam de animais de companhia (art. 149.º, cap. XVI)</w:t>
      </w:r>
    </w:p>
    <w:p>
      <w:pPr>
        <w:pStyle w:val="Heading2"/>
      </w:pPr>
      <w:r>
        <w:rPr>
          <w:i w:val="0"/>
          <w:color w:val="000000"/>
        </w:rPr>
        <w:t>Animais perigosos (1)</w:t>
      </w:r>
    </w:p>
    <w:p>
      <w:pPr>
        <w:spacing w:after="20"/>
        <w:ind w:left="454"/>
      </w:pPr>
      <w:r>
        <w:rPr>
          <w:b w:val="0"/>
          <w:i w:val="0"/>
        </w:rPr>
        <w:t>P-49. Duas vias para retirar a classificação de perigoso, sem ligação entre elas (art. 120.º, cap. XIV)</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r>
        <w:tc>
          <w:tcPr>
            <w:tcW w:w="1417" w:type="dxa"/>
          </w:tcPr>
          <w:p>
            <w:pPr>
              <w:spacing w:after="60"/>
            </w:pPr>
            <w:r/>
            <w:r>
              <w:rPr>
                <w:b w:val="0"/>
                <w:sz w:val="20"/>
              </w:rPr>
              <w:t>F-01</w:t>
            </w:r>
          </w:p>
        </w:tc>
        <w:tc>
          <w:tcPr>
            <w:tcW w:w="1417" w:type="dxa"/>
          </w:tcPr>
          <w:p>
            <w:pPr>
              <w:spacing w:after="60"/>
            </w:pPr>
            <w:r/>
            <w:r>
              <w:rPr>
                <w:b w:val="0"/>
                <w:sz w:val="20"/>
              </w:rPr>
              <w:t>P-43</w:t>
            </w:r>
          </w:p>
        </w:tc>
        <w:tc>
          <w:tcPr>
            <w:tcW w:w="6236" w:type="dxa"/>
          </w:tcPr>
          <w:p>
            <w:pPr>
              <w:spacing w:after="60"/>
            </w:pPr>
            <w:r/>
            <w:r>
              <w:rPr>
                <w:b w:val="0"/>
                <w:sz w:val="20"/>
              </w:rPr>
              <w:t>A revogação total da Lei 92/95 apaga normas que não tratam de animais de companhia</w:t>
            </w:r>
          </w:p>
        </w:tc>
      </w:tr>
      <w:tr>
        <w:tc>
          <w:tcPr>
            <w:tcW w:w="1417" w:type="dxa"/>
          </w:tcPr>
          <w:p>
            <w:pPr>
              <w:spacing w:after="60"/>
            </w:pPr>
            <w:r/>
            <w:r>
              <w:rPr>
                <w:b w:val="0"/>
                <w:sz w:val="20"/>
              </w:rPr>
              <w:t>F-02</w:t>
            </w:r>
          </w:p>
        </w:tc>
        <w:tc>
          <w:tcPr>
            <w:tcW w:w="1417" w:type="dxa"/>
          </w:tcPr>
          <w:p>
            <w:pPr>
              <w:spacing w:after="60"/>
            </w:pPr>
            <w:r/>
            <w:r>
              <w:rPr>
                <w:b w:val="0"/>
                <w:sz w:val="20"/>
              </w:rPr>
              <w:t>P-44</w:t>
            </w:r>
          </w:p>
        </w:tc>
        <w:tc>
          <w:tcPr>
            <w:tcW w:w="6236" w:type="dxa"/>
          </w:tcPr>
          <w:p>
            <w:pPr>
              <w:spacing w:after="60"/>
            </w:pPr>
            <w:r/>
            <w:r>
              <w:rPr>
                <w:b w:val="0"/>
                <w:sz w:val="20"/>
              </w:rPr>
              <w:t>O DL 74/2007 é ressalvado e revogado ao mesmo tempo</w:t>
            </w:r>
          </w:p>
        </w:tc>
      </w:tr>
      <w:tr>
        <w:tc>
          <w:tcPr>
            <w:tcW w:w="1417" w:type="dxa"/>
          </w:tcPr>
          <w:p>
            <w:pPr>
              <w:spacing w:after="60"/>
            </w:pPr>
            <w:r/>
            <w:r>
              <w:rPr>
                <w:b w:val="0"/>
                <w:sz w:val="20"/>
              </w:rPr>
              <w:t>G-01</w:t>
            </w:r>
          </w:p>
        </w:tc>
        <w:tc>
          <w:tcPr>
            <w:tcW w:w="1417" w:type="dxa"/>
          </w:tcPr>
          <w:p>
            <w:pPr>
              <w:spacing w:after="60"/>
            </w:pPr>
            <w:r/>
            <w:r>
              <w:rPr>
                <w:b w:val="0"/>
                <w:sz w:val="20"/>
              </w:rPr>
              <w:t>P-45</w:t>
            </w:r>
          </w:p>
        </w:tc>
        <w:tc>
          <w:tcPr>
            <w:tcW w:w="6236" w:type="dxa"/>
          </w:tcPr>
          <w:p>
            <w:pPr>
              <w:spacing w:after="60"/>
            </w:pPr>
            <w:r/>
            <w:r>
              <w:rPr>
                <w:b w:val="0"/>
                <w:sz w:val="20"/>
              </w:rPr>
              <w:t>A recolha por razões de bem-estar passa da DGAV para as câmaras e o destino para o médico veterinário municipal</w:t>
            </w:r>
          </w:p>
        </w:tc>
      </w:tr>
      <w:tr>
        <w:tc>
          <w:tcPr>
            <w:tcW w:w="1417" w:type="dxa"/>
          </w:tcPr>
          <w:p>
            <w:pPr>
              <w:spacing w:after="60"/>
            </w:pPr>
            <w:r/>
            <w:r>
              <w:rPr>
                <w:b w:val="0"/>
                <w:sz w:val="20"/>
              </w:rPr>
              <w:t>G-02</w:t>
            </w:r>
          </w:p>
        </w:tc>
        <w:tc>
          <w:tcPr>
            <w:tcW w:w="1417" w:type="dxa"/>
          </w:tcPr>
          <w:p>
            <w:pPr>
              <w:spacing w:after="60"/>
            </w:pPr>
            <w:r/>
            <w:r>
              <w:rPr>
                <w:b w:val="0"/>
                <w:sz w:val="20"/>
              </w:rPr>
              <w:t>P-46</w:t>
            </w:r>
          </w:p>
        </w:tc>
        <w:tc>
          <w:tcPr>
            <w:tcW w:w="6236" w:type="dxa"/>
          </w:tcPr>
          <w:p>
            <w:pPr>
              <w:spacing w:after="60"/>
            </w:pPr>
            <w:r/>
            <w:r>
              <w:rPr>
                <w:b w:val="0"/>
                <w:sz w:val="20"/>
              </w:rPr>
              <w:t>A presunção de abandono aos 15 dias não ressalva animais apreendidos nem animais socorridos em emergência</w:t>
            </w:r>
          </w:p>
        </w:tc>
      </w:tr>
      <w:tr>
        <w:tc>
          <w:tcPr>
            <w:tcW w:w="1417" w:type="dxa"/>
          </w:tcPr>
          <w:p>
            <w:pPr>
              <w:spacing w:after="60"/>
            </w:pPr>
            <w:r/>
            <w:r>
              <w:rPr>
                <w:b w:val="0"/>
                <w:sz w:val="20"/>
              </w:rPr>
              <w:t>S-02</w:t>
            </w:r>
          </w:p>
        </w:tc>
        <w:tc>
          <w:tcPr>
            <w:tcW w:w="1417" w:type="dxa"/>
          </w:tcPr>
          <w:p>
            <w:pPr>
              <w:spacing w:after="60"/>
            </w:pPr>
            <w:r/>
            <w:r>
              <w:rPr>
                <w:b w:val="0"/>
                <w:sz w:val="20"/>
              </w:rPr>
              <w:t>P-47</w:t>
            </w:r>
          </w:p>
        </w:tc>
        <w:tc>
          <w:tcPr>
            <w:tcW w:w="6236" w:type="dxa"/>
          </w:tcPr>
          <w:p>
            <w:pPr>
              <w:spacing w:after="60"/>
            </w:pPr>
            <w:r/>
            <w:r>
              <w:rPr>
                <w:b w:val="0"/>
                <w:sz w:val="20"/>
              </w:rPr>
              <w:t>A apreensão provisória serve só as contraordenações e admite devolver os animais ao local de origem</w:t>
            </w:r>
          </w:p>
        </w:tc>
      </w:tr>
      <w:tr>
        <w:tc>
          <w:tcPr>
            <w:tcW w:w="1417" w:type="dxa"/>
          </w:tcPr>
          <w:p>
            <w:pPr>
              <w:spacing w:after="60"/>
            </w:pPr>
            <w:r/>
            <w:r>
              <w:rPr>
                <w:b w:val="0"/>
                <w:sz w:val="20"/>
              </w:rPr>
              <w:t>E-01</w:t>
            </w:r>
          </w:p>
        </w:tc>
        <w:tc>
          <w:tcPr>
            <w:tcW w:w="1417" w:type="dxa"/>
          </w:tcPr>
          <w:p>
            <w:pPr>
              <w:spacing w:after="60"/>
            </w:pPr>
            <w:r/>
            <w:r>
              <w:rPr>
                <w:b w:val="0"/>
                <w:sz w:val="20"/>
              </w:rPr>
              <w:t>P-48</w:t>
            </w:r>
          </w:p>
        </w:tc>
        <w:tc>
          <w:tcPr>
            <w:tcW w:w="6236" w:type="dxa"/>
          </w:tcPr>
          <w:p>
            <w:pPr>
              <w:spacing w:after="60"/>
            </w:pPr>
            <w:r/>
            <w:r>
              <w:rPr>
                <w:b w:val="0"/>
                <w:sz w:val="20"/>
              </w:rPr>
              <w:t>Nada sobre animais de companhia em acidente grave ou catástrofe</w:t>
            </w:r>
          </w:p>
        </w:tc>
      </w:tr>
      <w:tr>
        <w:tc>
          <w:tcPr>
            <w:tcW w:w="1417" w:type="dxa"/>
          </w:tcPr>
          <w:p>
            <w:pPr>
              <w:spacing w:after="60"/>
            </w:pPr>
            <w:r/>
            <w:r>
              <w:rPr>
                <w:b w:val="0"/>
                <w:sz w:val="20"/>
              </w:rPr>
              <w:t>D-01</w:t>
            </w:r>
          </w:p>
        </w:tc>
        <w:tc>
          <w:tcPr>
            <w:tcW w:w="1417" w:type="dxa"/>
          </w:tcPr>
          <w:p>
            <w:pPr>
              <w:spacing w:after="60"/>
            </w:pPr>
            <w:r/>
            <w:r>
              <w:rPr>
                <w:b w:val="0"/>
                <w:sz w:val="20"/>
              </w:rPr>
              <w:t>P-49</w:t>
            </w:r>
          </w:p>
        </w:tc>
        <w:tc>
          <w:tcPr>
            <w:tcW w:w="6236" w:type="dxa"/>
          </w:tcPr>
          <w:p>
            <w:pPr>
              <w:spacing w:after="60"/>
            </w:pPr>
            <w:r/>
            <w:r>
              <w:rPr>
                <w:b w:val="0"/>
                <w:sz w:val="20"/>
              </w:rPr>
              <w:t>Duas vias para retirar a classificação de perigoso, sem ligação entre elas</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29">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0">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1">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2">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3">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4">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5">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6">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7">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8">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9">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0">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1">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2">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6">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7">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8">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9">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0">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1">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2">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3">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4">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5">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1.24.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files.diariodarepublica.pt/2s/2022/02/031000000/0030000303.pdf" TargetMode="External"/><Relationship Id="rId30" Type="http://schemas.openxmlformats.org/officeDocument/2006/relationships/hyperlink" Target="https://anmp.pt/file-viewer/?pstid=41508" TargetMode="External"/><Relationship Id="rId31"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2"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3" Type="http://schemas.openxmlformats.org/officeDocument/2006/relationships/hyperlink" Target="https://www.icnf.pt/api/file/doc/41f8f44aee23be1a" TargetMode="External"/><Relationship Id="rId34" Type="http://schemas.openxmlformats.org/officeDocument/2006/relationships/hyperlink" Target="https://www.dgav.pt/wp-content/uploads/2021/08/Relatorio-FINAL-avaliacao-da-implementacao-da-Lei-27-2016.pdf" TargetMode="External"/><Relationship Id="rId35" Type="http://schemas.openxmlformats.org/officeDocument/2006/relationships/hyperlink" Target="https://www.provedor-jus.pt/documentos/082A_96.pdf" TargetMode="External"/><Relationship Id="rId36" Type="http://schemas.openxmlformats.org/officeDocument/2006/relationships/hyperlink" Target="https://www.provedor-jus.pt/documentos/canideos-captura-alojamento-e-abate/" TargetMode="External"/><Relationship Id="rId37" Type="http://schemas.openxmlformats.org/officeDocument/2006/relationships/hyperlink" Target="https://www.provedor-jus.pt/documentos/ambiente-salubridade-habitacao-acumulacao-de-residuos-saude-mental-sindrome-de-diogenes-004-a-2013/" TargetMode="External"/><Relationship Id="rId38" Type="http://schemas.openxmlformats.org/officeDocument/2006/relationships/hyperlink" Target="https://www.provedor-jus.pt/documentos/Relat2020%20_Relatorio.pdf" TargetMode="External"/><Relationship Id="rId39" Type="http://schemas.openxmlformats.org/officeDocument/2006/relationships/hyperlink" Target="https://www.provedor-jus.pt/documentos/Relatorio%202023.pdf" TargetMode="External"/><Relationship Id="rId40" Type="http://schemas.openxmlformats.org/officeDocument/2006/relationships/hyperlink" Target="https://food.ec.europa.eu/document/download/caf8cd1d-967a-4e60-a0e5-19401be1c6b3_en?filename=aw_awp_leg_dog-cat_swd-2024-88.pdf" TargetMode="External"/><Relationship Id="rId41" Type="http://schemas.openxmlformats.org/officeDocument/2006/relationships/hyperlink" Target="https://www.woah.org/fileadmin/Home/eng/Health_standards/tahc/2023/chapitre_aw_stray_dog.pdf" TargetMode="External"/><Relationship Id="rId42" Type="http://schemas.openxmlformats.org/officeDocument/2006/relationships/hyperlink" Target="https://www.dgav.pt/wp-content/uploads/2026/03/Relatorio_CROs_2025_31032026-rev.pdf" TargetMode="External"/><Relationship Id="rId43" Type="http://schemas.openxmlformats.org/officeDocument/2006/relationships/hyperlink" Target="https://www.omv.pt/dmdocuments/vi_formacao_omv/abandono_animais_camv_ultimoparecer_nov2015.pdf" TargetMode="External"/><Relationship Id="rId4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5" Type="http://schemas.openxmlformats.org/officeDocument/2006/relationships/hyperlink" Target="https://apmveac.pt/wp-content/uploads/2021/04/Legislacao.Animais.Companhia_09-04-2021-amarelo-final-.pdf" TargetMode="External"/><Relationship Id="rId46" Type="http://schemas.openxmlformats.org/officeDocument/2006/relationships/hyperlink" Target="https://apmveac.pt/wp-content/uploads/2023/09/Parecer-APMVEAC-Consulta-Publica-ENAE.pdf" TargetMode="External"/><Relationship Id="rId47" Type="http://schemas.openxmlformats.org/officeDocument/2006/relationships/hyperlink" Target="https://www.arpa-associacao.pt/media/attachments/2022/12/14/parecer-arpa-versAo-4-final.pdf" TargetMode="External"/><Relationship Id="rId48" Type="http://schemas.openxmlformats.org/officeDocument/2006/relationships/hyperlink" Target="https://www.spea.pt/wp-content/uploads/2020/09/ParecerSPEA_Planos-Gestao-Parques-Naturais-Ilha-2020.pdf" TargetMode="External"/><Relationship Id="rId49" Type="http://schemas.openxmlformats.org/officeDocument/2006/relationships/hyperlink" Target="https://spea.pt/um-gato-feliz-e-alimentado-mantem-o-passarinho-afastado/" TargetMode="External"/><Relationship Id="rId50" Type="http://schemas.openxmlformats.org/officeDocument/2006/relationships/hyperlink" Target="https://matilhascoimbra.pt/pages/projecto-2" TargetMode="External"/><Relationship Id="rId51" Type="http://schemas.openxmlformats.org/officeDocument/2006/relationships/hyperlink" Target="https://www.pan.com.pt/pan-destaca-vitorias-no-bem-estar-animal-mas-denuncia-retrocesso-grave-no-orcamento-do-estado-para-2026/" TargetMode="External"/><Relationship Id="rId52" Type="http://schemas.openxmlformats.org/officeDocument/2006/relationships/hyperlink" Target="https://www.pcp.pt/solucao-prevencao-pela-esterilizacao-rede-publica-de-veterinarios-nao-abate-de-animais-abandonados" TargetMode="External"/><Relationship Id="rId53" Type="http://schemas.openxmlformats.org/officeDocument/2006/relationships/hyperlink" Target="https://www.pcp.pt/campanha-nacional-de-esterilizacao-de-animais-errantes-0" TargetMode="External"/><Relationship Id="rId54" Type="http://schemas.openxmlformats.org/officeDocument/2006/relationships/hyperlink" Target="https://programa.partidolivre.pt/propostas/N.13/" TargetMode="External"/><Relationship Id="rId55" Type="http://schemas.openxmlformats.org/officeDocument/2006/relationships/hyperlink" Target="https://maratonapelosanimais.pt/wp-content/uploads/2024/03/respostas-completas.pdf" TargetMode="External"/><Relationship Id="rId56" Type="http://schemas.openxmlformats.org/officeDocument/2006/relationships/hyperlink" Target="https://www.cidp.pt/revistas/rjlb/2019/2/2019_02_0077_0095.pdf" TargetMode="External"/><Relationship Id="rId57" Type="http://schemas.openxmlformats.org/officeDocument/2006/relationships/hyperlink" Target="https://www.cidp.pt/revistas/rjlb/2019/2/2019_02_0305_0348.pdf" TargetMode="External"/><Relationship Id="rId58" Type="http://schemas.openxmlformats.org/officeDocument/2006/relationships/hyperlink" Target="https://cej.justica.gov.pt/LinkClick.aspx?fileticket=VpuQj7jZ-us%3D&amp;portalid=30" TargetMode="External"/><Relationship Id="rId59" Type="http://schemas.openxmlformats.org/officeDocument/2006/relationships/hyperlink" Target="https://jurisprudencia.pt/acordao/76412/" TargetMode="External"/><Relationship Id="rId60" Type="http://schemas.openxmlformats.org/officeDocument/2006/relationships/hyperlink" Target="https://trc.pt/responsabilidade-civil-danos-causados-por-animais-dever-de-vigilancia/" TargetMode="External"/><Relationship Id="rId61" Type="http://schemas.openxmlformats.org/officeDocument/2006/relationships/hyperlink" Target="https://jurisprudencia.pt/acordao/128487/" TargetMode="External"/><Relationship Id="rId62" Type="http://schemas.openxmlformats.org/officeDocument/2006/relationships/hyperlink" Target="https://www.tribunalconstitucional.pt/tc/acordaos/20210867.html" TargetMode="External"/><Relationship Id="rId63" Type="http://schemas.openxmlformats.org/officeDocument/2006/relationships/hyperlink" Target="https://www.tribunalconstitucional.pt/tc/acordaos/20240070.html" TargetMode="External"/><Relationship Id="rId64" Type="http://schemas.openxmlformats.org/officeDocument/2006/relationships/hyperlink" Target="https://jurisprudencia.pt/acordao/221373/" TargetMode="External"/><Relationship Id="rId65" Type="http://schemas.openxmlformats.org/officeDocument/2006/relationships/hyperlink" Target="https://www.tribunalconstitucional.pt/tc/acordaos/20240478.html" TargetMode="External"/><Relationship Id="rId66" Type="http://schemas.openxmlformats.org/officeDocument/2006/relationships/hyperlink" Target="https://www.dgsi.pt/jtrl.nsf/33182fc732316039802565fa00497eec/7462ba7a0546bac680258c8b0049a31e?OpenDocument" TargetMode="External"/><Relationship Id="rId67" Type="http://schemas.openxmlformats.org/officeDocument/2006/relationships/hyperlink" Target="https://www.dgsi.pt/jtrp.nsf/56a6e7121657f91e80257cda00381fdf/703e8b815ea39ece80258b34004b8157" TargetMode="External"/><Relationship Id="rId68" Type="http://schemas.openxmlformats.org/officeDocument/2006/relationships/hyperlink" Target="https://www.nature.com/articles/ncomms2380" TargetMode="External"/><Relationship Id="rId69" Type="http://schemas.openxmlformats.org/officeDocument/2006/relationships/hyperlink" Target="https://doi.org/10.2460/javma.2005.227.1775" TargetMode="External"/><Relationship Id="rId70" Type="http://schemas.openxmlformats.org/officeDocument/2006/relationships/hyperlink" Target="https://www.frontiersin.org/journals/veterinary-science/articles/10.3389/fvets.2019.00238/full" TargetMode="External"/><Relationship Id="rId71" Type="http://schemas.openxmlformats.org/officeDocument/2006/relationships/hyperlink" Target="https://www.frontiersin.org/journals/veterinary-science/articles/10.3389/fvets.2019.00077/full" TargetMode="External"/><Relationship Id="rId72" Type="http://schemas.openxmlformats.org/officeDocument/2006/relationships/hyperlink" Target="https://doi.org/10.1093/jel/eqz035" TargetMode="External"/><Relationship Id="rId73" Type="http://schemas.openxmlformats.org/officeDocument/2006/relationships/hyperlink" Target="https://pmc.ncbi.nlm.nih.gov/articles/PMC9169806/" TargetMode="External"/><Relationship Id="rId74" Type="http://schemas.openxmlformats.org/officeDocument/2006/relationships/hyperlink" Target="https://pmc.ncbi.nlm.nih.gov/articles/PMC11939513/" TargetMode="External"/><Relationship Id="rId75" Type="http://schemas.openxmlformats.org/officeDocument/2006/relationships/hyperlink" Target="https://dspace.uevora.pt/rdpc/bitstream/10174/38522/1/Gal%C3%A3o%20et%20al_2025_When%20pets%20go%20wild.pdf" TargetMode="External"/><Relationship Id="rId7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