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240"/>
      </w:pPr>
      <w:r>
        <w:rPr>
          <w:b w:val="0"/>
          <w:i w:val="0"/>
          <w:sz w:val="24"/>
        </w:rPr>
        <w:t>Problemas identificados no projeto de Regime Geral do Animal de Companhia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1.5</w:t>
            </w:r>
          </w:p>
        </w:tc>
      </w:tr>
      <w:tr>
        <w:tc>
          <w:tcPr>
            <w:tcW w:w="2551" w:type="dxa"/>
          </w:tcPr>
          <w:p>
            <w:pPr>
              <w:spacing w:after="60"/>
            </w:pPr>
            <w:r/>
            <w:r>
              <w:rPr>
                <w:b/>
                <w:sz w:val="20"/>
              </w:rPr>
              <w:t>Data</w:t>
            </w:r>
          </w:p>
        </w:tc>
        <w:tc>
          <w:tcPr>
            <w:tcW w:w="6520" w:type="dxa"/>
          </w:tcPr>
          <w:p>
            <w:pPr>
              <w:spacing w:after="60"/>
            </w:pPr>
            <w:r/>
            <w:r>
              <w:rPr>
                <w:b w:val="0"/>
                <w:sz w:val="20"/>
              </w:rPr>
              <w:t>27.9.2026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Titular, detentor, proprietário e operador</w:t>
      </w:r>
    </w:p>
    <w:p>
      <w:pPr>
        <w:spacing w:after="0"/>
        <w:ind w:left="567"/>
      </w:pPr>
      <w:r>
        <w:rPr>
          <w:b w:val="0"/>
          <w:i w:val="0"/>
        </w:rPr>
        <w:t>T-01. A definição de titular depende só do registo</w:t>
      </w:r>
    </w:p>
    <w:p>
      <w:pPr>
        <w:spacing w:after="0"/>
        <w:ind w:left="567"/>
      </w:pPr>
      <w:r>
        <w:rPr>
          <w:b w:val="0"/>
          <w:i w:val="0"/>
        </w:rPr>
        <w:t>T-02. Registo em nome de quem detém o animal e não de quem é dono</w:t>
      </w:r>
    </w:p>
    <w:p>
      <w:pPr>
        <w:spacing w:after="0"/>
        <w:ind w:left="567"/>
      </w:pPr>
      <w:r>
        <w:rPr>
          <w:b w:val="0"/>
          <w:i w:val="0"/>
        </w:rPr>
        <w:t>T-03. Sem regra sobre o valor do registo SIAC face à propriedade</w:t>
      </w:r>
    </w:p>
    <w:p>
      <w:pPr>
        <w:spacing w:after="0"/>
        <w:ind w:left="567"/>
      </w:pPr>
      <w:r>
        <w:rPr>
          <w:b w:val="0"/>
          <w:i w:val="0"/>
        </w:rPr>
        <w:t>T-04. O detentor deixa de ter de comunicar a morte do animal</w:t>
      </w:r>
    </w:p>
    <w:p>
      <w:pPr>
        <w:spacing w:after="0"/>
        <w:ind w:left="567"/>
      </w:pPr>
      <w:r>
        <w:rPr>
          <w:b w:val="0"/>
          <w:i w:val="0"/>
        </w:rPr>
        <w:t>T-05. A presunção de abandono remete para normas erradas e não diz a quem se aplica</w:t>
      </w:r>
    </w:p>
    <w:p>
      <w:pPr>
        <w:spacing w:after="0"/>
        <w:ind w:left="567"/>
      </w:pPr>
      <w:r>
        <w:rPr>
          <w:b w:val="0"/>
          <w:i w:val="0"/>
        </w:rPr>
        <w:t>T-06. O abandono não aparece como contraordenação</w:t>
      </w:r>
    </w:p>
    <w:p>
      <w:pPr>
        <w:spacing w:after="0"/>
        <w:ind w:left="567"/>
      </w:pPr>
      <w:r>
        <w:rPr>
          <w:b w:val="0"/>
          <w:i w:val="0"/>
        </w:rPr>
        <w:t>T-07. As portarias mantidas usam detentor no sentido antigo</w:t>
      </w:r>
    </w:p>
    <w:p>
      <w:pPr>
        <w:spacing w:after="0"/>
        <w:ind w:left="567"/>
      </w:pPr>
      <w:r>
        <w:rPr>
          <w:b w:val="0"/>
          <w:i w:val="0"/>
        </w:rPr>
        <w:t>T-08. Animais perigosos: o operador pode ser uma sociedade, o titular não</w:t>
      </w:r>
    </w:p>
    <w:p>
      <w:pPr>
        <w:spacing w:after="0"/>
        <w:ind w:left="567"/>
      </w:pPr>
      <w:r>
        <w:rPr>
          <w:b w:val="0"/>
          <w:i w:val="0"/>
        </w:rPr>
        <w:t>T-09. «Titular ou operador» quando o operador já é titular</w:t>
      </w:r>
    </w:p>
    <w:p>
      <w:pPr>
        <w:spacing w:after="0"/>
        <w:ind w:left="567"/>
      </w:pPr>
      <w:r>
        <w:rPr>
          <w:b w:val="0"/>
          <w:i w:val="0"/>
        </w:rPr>
        <w:t>T-10. Terminologia do CRO ainda não uniforme</w:t>
      </w:r>
    </w:p>
    <w:p>
      <w:pPr>
        <w:spacing w:after="0"/>
        <w:ind w:left="567"/>
      </w:pPr>
      <w:r>
        <w:rPr>
          <w:b w:val="0"/>
          <w:i w:val="0"/>
        </w:rPr>
        <w:t>T-11. Contraordenação dirigida só aos detentores</w:t>
      </w:r>
    </w:p>
    <w:p>
      <w:pPr>
        <w:spacing w:after="0"/>
        <w:ind w:left="567"/>
      </w:pPr>
      <w:r>
        <w:rPr>
          <w:b w:val="0"/>
          <w:i w:val="0"/>
        </w:rPr>
        <w:t>T-12. Redação por decidir no art. 22.º</w:t>
      </w:r>
    </w:p>
    <w:p>
      <w:pPr>
        <w:spacing w:after="0"/>
        <w:ind w:left="567"/>
      </w:pPr>
      <w:r>
        <w:rPr>
          <w:b w:val="0"/>
          <w:i w:val="0"/>
        </w:rPr>
        <w:t>T-13. Quem responde pelos danos causados pelo animal</w:t>
      </w:r>
    </w:p>
    <w:p>
      <w:pPr>
        <w:spacing w:after="0"/>
        <w:ind w:left="567"/>
      </w:pPr>
      <w:r>
        <w:rPr>
          <w:b w:val="0"/>
          <w:i w:val="0"/>
        </w:rPr>
        <w:t>T-14. Família de acolhimento sem operador fica sem enquadramento</w:t>
      </w:r>
    </w:p>
    <w:p>
      <w:pPr>
        <w:spacing w:after="0"/>
        <w:ind w:left="567"/>
      </w:pPr>
      <w:r>
        <w:rPr>
          <w:b w:val="0"/>
          <w:i w:val="0"/>
        </w:rPr>
        <w:t>T-15. Quem encontra um animal passa a poder ser punido</w:t>
      </w:r>
    </w:p>
    <w:p>
      <w:pPr>
        <w:spacing w:after="0"/>
        <w:ind w:left="567"/>
      </w:pPr>
      <w:r>
        <w:rPr>
          <w:b w:val="0"/>
          <w:i w:val="0"/>
        </w:rPr>
        <w:t>T-16. Detentores de facto que dizem tratar de animais errantes</w:t>
      </w:r>
    </w:p>
    <w:p>
      <w:pPr>
        <w:spacing w:after="0"/>
        <w:ind w:left="567"/>
      </w:pPr>
      <w:r>
        <w:rPr>
          <w:b w:val="0"/>
          <w:i w:val="0"/>
        </w:rPr>
        <w:t>T-17. Prazos de comunicação ao SIAC mais pesados do que o Regulamento europeu</w:t>
      </w:r>
    </w:p>
    <w:p>
      <w:pPr>
        <w:spacing w:after="0"/>
        <w:ind w:left="567"/>
      </w:pPr>
      <w:r>
        <w:rPr>
          <w:b w:val="0"/>
          <w:i w:val="0"/>
        </w:rPr>
        <w:t>T-18. Animais deixados em centros veterinários</w:t>
      </w:r>
    </w:p>
    <w:p>
      <w:pPr>
        <w:spacing w:after="40"/>
      </w:pPr>
    </w:p>
    <w:p>
      <w:pPr>
        <w:spacing w:after="40"/>
      </w:pPr>
      <w:r>
        <w:rPr>
          <w:b/>
          <w:i w:val="0"/>
        </w:rPr>
        <w:t>3. Programas CED, colónias e animais errantes</w:t>
      </w:r>
    </w:p>
    <w:p>
      <w:pPr>
        <w:spacing w:after="0"/>
        <w:ind w:left="567"/>
      </w:pPr>
      <w:r>
        <w:rPr>
          <w:b w:val="0"/>
          <w:i w:val="0"/>
        </w:rPr>
        <w:t>C-01. O CED passa a ser só uma faculdade das câmaras</w:t>
      </w:r>
    </w:p>
    <w:p>
      <w:pPr>
        <w:spacing w:after="0"/>
        <w:ind w:left="567"/>
      </w:pPr>
      <w:r>
        <w:rPr>
          <w:b w:val="0"/>
          <w:i w:val="0"/>
        </w:rPr>
        <w:t>C-02. O cuidador de colónia não existe no texto</w:t>
      </w:r>
    </w:p>
    <w:p>
      <w:pPr>
        <w:spacing w:after="0"/>
        <w:ind w:left="567"/>
      </w:pPr>
      <w:r>
        <w:rPr>
          <w:b w:val="0"/>
          <w:i w:val="0"/>
        </w:rPr>
        <w:t>C-03. Proibição nacional de alimentar animais na via pública</w:t>
      </w:r>
    </w:p>
    <w:p>
      <w:pPr>
        <w:spacing w:after="0"/>
        <w:ind w:left="567"/>
      </w:pPr>
      <w:r>
        <w:rPr>
          <w:b w:val="0"/>
          <w:i w:val="0"/>
        </w:rPr>
        <w:t>C-04. Só as câmaras podem capturar, mas o CED pode ser gerido por outras entidades</w:t>
      </w:r>
    </w:p>
    <w:p>
      <w:pPr>
        <w:spacing w:after="0"/>
        <w:ind w:left="567"/>
      </w:pPr>
      <w:r>
        <w:rPr>
          <w:b w:val="0"/>
          <w:i w:val="0"/>
        </w:rPr>
        <w:t>C-05. Passagem obrigatória pelo CRO antes de o gato entrar na colónia</w:t>
      </w:r>
    </w:p>
    <w:p>
      <w:pPr>
        <w:spacing w:after="0"/>
        <w:ind w:left="567"/>
      </w:pPr>
      <w:r>
        <w:rPr>
          <w:b w:val="0"/>
          <w:i w:val="0"/>
        </w:rPr>
        <w:t>C-06. Exclusão dos cães do CED</w:t>
      </w:r>
    </w:p>
    <w:p>
      <w:pPr>
        <w:spacing w:after="0"/>
        <w:ind w:left="567"/>
      </w:pPr>
      <w:r>
        <w:rPr>
          <w:b w:val="0"/>
          <w:i w:val="0"/>
        </w:rPr>
        <w:t>C-07. Remissões e numeração erradas no artigo do CED</w:t>
      </w:r>
    </w:p>
    <w:p>
      <w:pPr>
        <w:spacing w:after="0"/>
        <w:ind w:left="567"/>
      </w:pPr>
      <w:r>
        <w:rPr>
          <w:b w:val="0"/>
          <w:i w:val="0"/>
        </w:rPr>
        <w:t>C-08. Entidade promotora, entidade responsável e titular: quem responde pela colónia</w:t>
      </w:r>
    </w:p>
    <w:p>
      <w:pPr>
        <w:spacing w:after="0"/>
        <w:ind w:left="567"/>
      </w:pPr>
      <w:r>
        <w:rPr>
          <w:b w:val="0"/>
          <w:i w:val="0"/>
        </w:rPr>
        <w:t>C-09. Registo da colónia no SIAC sem conteúdo definido</w:t>
      </w:r>
    </w:p>
    <w:p>
      <w:pPr>
        <w:spacing w:after="0"/>
        <w:ind w:left="567"/>
      </w:pPr>
      <w:r>
        <w:rPr>
          <w:b w:val="0"/>
          <w:i w:val="0"/>
        </w:rPr>
        <w:t>C-10. Colónias em prédios privados</w:t>
      </w:r>
    </w:p>
    <w:p>
      <w:pPr>
        <w:spacing w:after="0"/>
        <w:ind w:left="567"/>
      </w:pPr>
      <w:r>
        <w:rPr>
          <w:b w:val="0"/>
          <w:i w:val="0"/>
        </w:rPr>
        <w:t>C-11. CED e conservação da natureza</w:t>
      </w:r>
    </w:p>
    <w:p>
      <w:pPr>
        <w:spacing w:after="0"/>
        <w:ind w:left="567"/>
      </w:pPr>
      <w:r>
        <w:rPr>
          <w:b w:val="0"/>
          <w:i w:val="0"/>
        </w:rPr>
        <w:t>C-12. Gatos de colónia em infração permanente</w:t>
      </w:r>
    </w:p>
    <w:p>
      <w:pPr>
        <w:spacing w:after="0"/>
        <w:ind w:left="567"/>
      </w:pPr>
      <w:r>
        <w:rPr>
          <w:b w:val="0"/>
          <w:i w:val="0"/>
        </w:rPr>
        <w:t>C-13. Crias e gatos sociáveis: retirar ou devolver</w:t>
      </w:r>
    </w:p>
    <w:p>
      <w:pPr>
        <w:spacing w:after="0"/>
        <w:ind w:left="567"/>
      </w:pPr>
      <w:r>
        <w:rPr>
          <w:b w:val="0"/>
          <w:i w:val="0"/>
        </w:rPr>
        <w:t>C-14. Suspensão do programa e recolha dos gatos sem garantias</w:t>
      </w:r>
    </w:p>
    <w:p>
      <w:pPr>
        <w:spacing w:after="0"/>
        <w:ind w:left="567"/>
      </w:pPr>
      <w:r>
        <w:rPr>
          <w:b w:val="0"/>
          <w:i w:val="0"/>
        </w:rPr>
        <w:t>C-15. Meios: médicos veterinários municipais e financiamento</w:t>
      </w:r>
    </w:p>
    <w:p>
      <w:pPr>
        <w:spacing w:after="0"/>
        <w:ind w:left="567"/>
      </w:pPr>
      <w:r>
        <w:rPr>
          <w:b w:val="0"/>
          <w:i w:val="0"/>
        </w:rPr>
        <w:t>C-16. Conflito com vizinhos e dimensão da colónia</w:t>
      </w:r>
    </w:p>
    <w:p>
      <w:pPr>
        <w:spacing w:after="0"/>
        <w:ind w:left="567"/>
      </w:pPr>
      <w:r>
        <w:rPr>
          <w:b w:val="0"/>
          <w:i w:val="0"/>
        </w:rPr>
        <w:t>C-17. Plano municipal de controlo de errantes sem conteúdo mínimo nem consequências</w:t>
      </w:r>
    </w:p>
    <w:p>
      <w:pPr>
        <w:spacing w:after="40"/>
      </w:pPr>
    </w:p>
    <w:p>
      <w:pPr>
        <w:spacing w:after="40"/>
      </w:pPr>
      <w:r>
        <w:rPr>
          <w:b/>
          <w:i w:val="0"/>
        </w:rPr>
        <w:t>4. Pontos já resolvidos no RGAC</w:t>
      </w:r>
    </w:p>
    <w:p>
      <w:pPr>
        <w:spacing w:after="40"/>
      </w:pPr>
      <w:r>
        <w:rPr>
          <w:b/>
          <w:i w:val="0"/>
        </w:rPr>
        <w:t>Anexo A. Quadro-resumo das fichas</w:t>
      </w:r>
    </w:p>
    <w:p>
      <w:pPr>
        <w:spacing w:after="40"/>
      </w:pPr>
      <w:r>
        <w:rPr>
          <w:b/>
          <w:i w:val="0"/>
        </w:rPr>
        <w:t>Anexo B. Posições de entidades externas</w:t>
      </w:r>
    </w:p>
    <w:p>
      <w:pPr>
        <w:spacing w:after="40"/>
      </w:pPr>
      <w:r>
        <w:rPr>
          <w:b/>
          <w:i w:val="0"/>
        </w:rPr>
        <w:t>Anexo C. Fontes</w:t>
      </w:r>
    </w:p>
    <w:p>
      <w:pPr>
        <w:spacing w:after="40"/>
      </w:pPr>
      <w:r>
        <w:rPr>
          <w:b/>
          <w:i w:val="0"/>
        </w:rPr>
        <w:t>Registo de alterações</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Cada problema tem uma ficha com um código fixo. As fichas do tema titular, detentor, proprietário e operador começam por T. As fichas dos programas CED, colónias e animais errantes começam por C. Os códigos não se reutilizam. Quando um problema fica resolvido, a ficha mantém-se com o estado Resolvido.</w:t>
      </w:r>
    </w:p>
    <w:p>
      <w:r>
        <w:rPr>
          <w:b w:val="0"/>
          <w:i w:val="0"/>
        </w:rPr>
        <w:t>As referências a artigos são sempre à versão do RGAC indicada acima, salvo indicação em contrário. A legislação vigente citada foi confirmada online (DRE e PGDL), na pasta Legislação vigente e nos ficheiros do repositório.</w:t>
      </w:r>
    </w:p>
    <w:p>
      <w:r>
        <w:rPr>
          <w:b w:val="0"/>
          <w:i w:val="0"/>
        </w:rPr>
        <w:t>As posições de entidades externas assentam só em documentos: diplomas e projetos, pareceres, relatórios, estratégias, recomendações, acórdãos, doutrina e artigos científicos. Notícias de imprensa não são usadas como fonte.</w:t>
      </w:r>
    </w:p>
    <w:p>
      <w:pPr>
        <w:spacing w:after="40"/>
      </w:pPr>
      <w:r>
        <w:rPr>
          <w:b w:val="0"/>
          <w:i w:val="0"/>
        </w:rPr>
        <w:t>Cada ficha tem os seguintes campos:</w:t>
      </w:r>
    </w:p>
    <w:p>
      <w:pPr>
        <w:spacing w:after="20"/>
        <w:ind w:left="454"/>
      </w:pPr>
      <w:r>
        <w:rPr>
          <w:b w:val="0"/>
          <w:i w:val="0"/>
        </w:rPr>
        <w:t>Onde: Artigos do RGAC em causa.</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pPr>
        <w:pStyle w:val="Heading2"/>
      </w:pPr>
      <w:r>
        <w:rPr>
          <w:i w:val="0"/>
          <w:color w:val="000000"/>
        </w:rPr>
        <w:t>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T-02, T-03</w:t>
            </w:r>
          </w:p>
        </w:tc>
      </w:tr>
    </w:tbl>
    <w:p/>
    <w:p>
      <w:pPr>
        <w:pStyle w:val="Heading2"/>
      </w:pPr>
      <w:r>
        <w:rPr>
          <w:i w:val="0"/>
          <w:color w:val="000000"/>
        </w:rPr>
        <w:t>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T-14</w:t>
            </w:r>
          </w:p>
        </w:tc>
      </w:tr>
    </w:tbl>
    <w:p/>
    <w:p>
      <w:pPr>
        <w:pStyle w:val="Heading2"/>
      </w:pPr>
      <w:r>
        <w:rPr>
          <w:i w:val="0"/>
          <w:color w:val="000000"/>
        </w:rPr>
        <w:t>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art. 5.º; art. 69.º</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T-04, T-06</w:t>
            </w:r>
          </w:p>
        </w:tc>
      </w:tr>
    </w:tbl>
    <w:p/>
    <w:p>
      <w:pPr>
        <w:pStyle w:val="Heading2"/>
      </w:pPr>
      <w:r>
        <w:rPr>
          <w:i w:val="0"/>
          <w:color w:val="000000"/>
        </w:rPr>
        <w:t>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art. 3.º, definição de «Abandono»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63.º, n.º 5;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 art. 89.º, n.º 3; art. 95.º, n.º 2; art. 98.º, n.º 13; art. 99.º, n.º 1</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T-06</w:t>
            </w:r>
          </w:p>
        </w:tc>
      </w:tr>
    </w:tbl>
    <w:p/>
    <w:p>
      <w:pPr>
        <w:pStyle w:val="Heading2"/>
      </w:pPr>
      <w:r>
        <w:rPr>
          <w:i w:val="0"/>
          <w:color w:val="000000"/>
        </w:rPr>
        <w:t>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 salvo animais perigosos (seguro a cargo do titular)</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C-08</w:t>
            </w:r>
          </w:p>
        </w:tc>
      </w:tr>
    </w:tbl>
    <w:p/>
    <w:p>
      <w:pPr>
        <w:pStyle w:val="Heading2"/>
      </w:pPr>
      <w:r>
        <w:rPr>
          <w:i w:val="0"/>
          <w:color w:val="000000"/>
        </w:rPr>
        <w:t>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 art. 41.º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T-13, C-02</w:t>
            </w:r>
          </w:p>
        </w:tc>
      </w:tr>
    </w:tbl>
    <w:p/>
    <w:p>
      <w:pPr>
        <w:pStyle w:val="Heading2"/>
      </w:pPr>
      <w:r>
        <w:rPr>
          <w:i w:val="0"/>
          <w:color w:val="000000"/>
        </w:rPr>
        <w:t>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tc>
      </w:tr>
      <w:tr>
        <w:tc>
          <w:tcPr>
            <w:tcW w:w="1984" w:type="dxa"/>
          </w:tcPr>
          <w:p>
            <w:pPr>
              <w:spacing w:after="60"/>
            </w:pPr>
            <w:r/>
            <w:r>
              <w:rPr>
                <w:b/>
                <w:sz w:val="20"/>
              </w:rPr>
              <w:t>Proposta</w:t>
            </w:r>
          </w:p>
        </w:tc>
        <w:tc>
          <w:tcPr>
            <w:tcW w:w="7087" w:type="dxa"/>
          </w:tcPr>
          <w:p>
            <w:pPr>
              <w:spacing w:after="60"/>
            </w:pPr>
            <w:r/>
            <w:r>
              <w:rPr>
                <w:b w:val="0"/>
                <w:sz w:val="20"/>
              </w:rPr>
              <w:t>Articular o art. 91.º, n.º 9 com o art. 1323.º do Código Civil: permitir a guarda provisória pelo achador, com dever de comunicação e leitura do transponder num prazo curto.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C-16</w:t>
            </w:r>
          </w:p>
        </w:tc>
      </w:tr>
    </w:tbl>
    <w:p/>
    <w:p>
      <w:pPr>
        <w:pStyle w:val="Heading2"/>
      </w:pPr>
      <w:r>
        <w:rPr>
          <w:i w:val="0"/>
          <w:color w:val="000000"/>
        </w:rPr>
        <w:t>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C-10</w:t>
            </w:r>
          </w:p>
        </w:tc>
      </w:tr>
    </w:tbl>
    <w:p/>
    <w:p>
      <w:pPr>
        <w:pStyle w:val="Heading2"/>
      </w:pPr>
      <w:r>
        <w:rPr>
          <w:i w:val="0"/>
          <w:color w:val="000000"/>
        </w:rPr>
        <w:t>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 art. 70.º,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 T-06</w:t>
            </w:r>
          </w:p>
        </w:tc>
      </w:tr>
    </w:tbl>
    <w:p/>
    <w:p>
      <w:r>
        <w:br w:type="page"/>
      </w:r>
    </w:p>
    <w:p>
      <w:pPr>
        <w:pStyle w:val="Heading1"/>
      </w:pPr>
      <w:r>
        <w:rPr>
          <w:i w:val="0"/>
          <w:color w:val="000000"/>
        </w:rPr>
        <w:t>3. 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pPr>
        <w:pStyle w:val="Heading2"/>
      </w:pPr>
      <w:r>
        <w:rPr>
          <w:i w:val="0"/>
          <w:color w:val="000000"/>
        </w:rPr>
        <w:t>C-01.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 art. 149.º, n.º 1 (revogação da Lei 27/2016)</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tc>
      </w:tr>
      <w:tr>
        <w:tc>
          <w:tcPr>
            <w:tcW w:w="1984" w:type="dxa"/>
          </w:tcPr>
          <w:p>
            <w:pPr>
              <w:spacing w:after="60"/>
            </w:pPr>
            <w:r/>
            <w:r>
              <w:rPr>
                <w:b/>
                <w:sz w:val="20"/>
              </w:rPr>
              <w:t>Proposta</w:t>
            </w:r>
          </w:p>
        </w:tc>
        <w:tc>
          <w:tcPr>
            <w:tcW w:w="7087" w:type="dxa"/>
          </w:tcPr>
          <w:p>
            <w:pPr>
              <w:spacing w:after="60"/>
            </w:pPr>
            <w:r/>
            <w:r>
              <w:rPr>
                <w:b w:val="0"/>
                <w:sz w:val="20"/>
              </w:rPr>
              <w:t>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 art. 3.º (sem definição)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(T-13) e à proibição de alimentar (C-03).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C-03, T-13, T-14</w:t>
            </w:r>
          </w:p>
        </w:tc>
      </w:tr>
    </w:tbl>
    <w:p/>
    <w:p>
      <w:pPr>
        <w:pStyle w:val="Heading2"/>
      </w:pPr>
      <w:r>
        <w:rPr>
          <w:i w:val="0"/>
          <w:color w:val="000000"/>
        </w:rPr>
        <w:t>C-03.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 art. 140.º, n.º 2 («A alimentação na via pública em violação do disposto no artigo XX.º»)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(C-02) e com o CED dependente de autorização (C-01),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Regulamentos municipais de Lisboa, Porto, Oeiras, Cascais e outros (excecionam cuidadores registados);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 art. 86.º, n.º 4;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C-08</w:t>
            </w:r>
          </w:p>
        </w:tc>
      </w:tr>
    </w:tbl>
    <w:p/>
    <w:p>
      <w:pPr>
        <w:pStyle w:val="Heading2"/>
      </w:pPr>
      <w:r>
        <w:rPr>
          <w:i w:val="0"/>
          <w:color w:val="000000"/>
        </w:rPr>
        <w:t>C-05.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 art. 86.º, n.º 6, al. e); art. 70.º, n.º 12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 art. 70.º, n.º 12</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T-13, C-04</w:t>
            </w:r>
          </w:p>
        </w:tc>
      </w:tr>
    </w:tbl>
    <w:p/>
    <w:p>
      <w:pPr>
        <w:pStyle w:val="Heading2"/>
      </w:pPr>
      <w:r>
        <w:rPr>
          <w:i w:val="0"/>
          <w:color w:val="000000"/>
        </w:rPr>
        <w:t>C-09.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 art. 5.º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T-16</w:t>
            </w:r>
          </w:p>
        </w:tc>
      </w:tr>
    </w:tbl>
    <w:p/>
    <w:p>
      <w:pPr>
        <w:pStyle w:val="Heading2"/>
      </w:pPr>
      <w:r>
        <w:rPr>
          <w:i w:val="0"/>
          <w:color w:val="000000"/>
        </w:rPr>
        <w:t>C-11.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 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T-15</w:t>
            </w:r>
          </w:p>
        </w:tc>
      </w:tr>
    </w:tbl>
    <w:p/>
    <w:p>
      <w:pPr>
        <w:pStyle w:val="Heading2"/>
      </w:pPr>
      <w:r>
        <w:rPr>
          <w:i w:val="0"/>
          <w:color w:val="000000"/>
        </w:rPr>
        <w:t>C-14.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C-07</w:t>
            </w:r>
          </w:p>
        </w:tc>
      </w:tr>
    </w:tbl>
    <w:p/>
    <w:p>
      <w:pPr>
        <w:pStyle w:val="Heading2"/>
      </w:pPr>
      <w:r>
        <w:rPr>
          <w:i w:val="0"/>
          <w:color w:val="000000"/>
        </w:rPr>
        <w:t>C-15.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C-14</w:t>
            </w:r>
          </w:p>
        </w:tc>
      </w:tr>
    </w:tbl>
    <w:p/>
    <w:p>
      <w:pPr>
        <w:pStyle w:val="Heading2"/>
      </w:pPr>
      <w:r>
        <w:rPr>
          <w:i w:val="0"/>
          <w:color w:val="000000"/>
        </w:rPr>
        <w:t>C-17.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C-09</w:t>
            </w:r>
          </w:p>
        </w:tc>
      </w:tr>
    </w:tbl>
    <w:p/>
    <w:p>
      <w:r>
        <w:br w:type="page"/>
      </w:r>
    </w:p>
    <w:p>
      <w:pPr>
        <w:pStyle w:val="Heading1"/>
      </w:pPr>
      <w:r>
        <w:rPr>
          <w:i w:val="0"/>
          <w:color w:val="000000"/>
        </w:rPr>
        <w:t>4.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9"/>
          <w:pgSz w:w="11906" w:h="16838"/>
          <w:pgMar w:top="1247" w:right="1417" w:bottom="1247" w:left="1417" w:header="720" w:footer="720" w:gutter="0"/>
          <w:cols w:space="720"/>
          <w:docGrid w:linePitch="360"/>
        </w:sectPr>
      </w:pPr>
    </w:p>
    <w:p>
      <w:pPr>
        <w:pStyle w:val="Heading1"/>
      </w:pPr>
      <w:r>
        <w:rPr>
          <w:i w:val="0"/>
          <w:color w:val="000000"/>
        </w:rPr>
        <w:t>Anexo A. Quadro-resumo das fichas</w:t>
      </w:r>
    </w:p>
    <w:tbl>
      <w:tblPr>
        <w:tblW w:w="145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5216"/>
        <w:gridCol w:w="3969"/>
        <w:gridCol w:w="2381"/>
        <w:gridCol w:w="1928"/>
      </w:tblGrid>
      <w:tr>
        <w:trPr>
          <w:tblHeader w:val="true"/>
        </w:trPr>
        <w:tc>
          <w:tcPr>
            <w:tcW w:w="1020" w:type="dxa"/>
          </w:tcPr>
          <w:p>
            <w:pPr>
              <w:spacing w:after="60"/>
            </w:pPr>
            <w:r/>
            <w:r>
              <w:rPr>
                <w:b/>
                <w:sz w:val="20"/>
              </w:rPr>
              <w:t>Código</w:t>
            </w:r>
          </w:p>
        </w:tc>
        <w:tc>
          <w:tcPr>
            <w:tcW w:w="5216" w:type="dxa"/>
          </w:tcPr>
          <w:p>
            <w:pPr>
              <w:spacing w:after="60"/>
            </w:pPr>
            <w:r/>
            <w:r>
              <w:rPr>
                <w:b/>
                <w:sz w:val="20"/>
              </w:rPr>
              <w:t>Assunto</w:t>
            </w:r>
          </w:p>
        </w:tc>
        <w:tc>
          <w:tcPr>
            <w:tcW w:w="3969" w:type="dxa"/>
          </w:tcPr>
          <w:p>
            <w:pPr>
              <w:spacing w:after="60"/>
            </w:pPr>
            <w:r/>
            <w:r>
              <w:rPr>
                <w:b/>
                <w:sz w:val="20"/>
              </w:rPr>
              <w:t>Onde</w:t>
            </w:r>
          </w:p>
        </w:tc>
        <w:tc>
          <w:tcPr>
            <w:tcW w:w="2381" w:type="dxa"/>
          </w:tcPr>
          <w:p>
            <w:pPr>
              <w:spacing w:after="60"/>
            </w:pPr>
            <w:r/>
            <w:r>
              <w:rPr>
                <w:b/>
                <w:sz w:val="20"/>
              </w:rPr>
              <w:t>Origem</w:t>
            </w:r>
          </w:p>
        </w:tc>
        <w:tc>
          <w:tcPr>
            <w:tcW w:w="1928" w:type="dxa"/>
          </w:tcPr>
          <w:p>
            <w:pPr>
              <w:spacing w:after="60"/>
            </w:pPr>
            <w:r/>
            <w:r>
              <w:rPr>
                <w:b/>
                <w:sz w:val="20"/>
              </w:rPr>
              <w:t>Estado</w:t>
            </w:r>
          </w:p>
        </w:tc>
      </w:tr>
      <w:tr>
        <w:tc>
          <w:tcPr>
            <w:tcW w:w="1020" w:type="dxa"/>
          </w:tcPr>
          <w:p>
            <w:pPr>
              <w:spacing w:after="60"/>
            </w:pPr>
            <w:r/>
            <w:r>
              <w:rPr>
                <w:b w:val="0"/>
                <w:sz w:val="20"/>
              </w:rPr>
              <w:t>T-01</w:t>
            </w:r>
          </w:p>
        </w:tc>
        <w:tc>
          <w:tcPr>
            <w:tcW w:w="5216" w:type="dxa"/>
          </w:tcPr>
          <w:p>
            <w:pPr>
              <w:spacing w:after="60"/>
            </w:pPr>
            <w:r/>
            <w:r>
              <w:rPr>
                <w:b w:val="0"/>
                <w:sz w:val="20"/>
              </w:rPr>
              <w:t>A definição de titular depende só do registo</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T-02</w:t>
            </w:r>
          </w:p>
        </w:tc>
        <w:tc>
          <w:tcPr>
            <w:tcW w:w="5216" w:type="dxa"/>
          </w:tcPr>
          <w:p>
            <w:pPr>
              <w:spacing w:after="60"/>
            </w:pPr>
            <w:r/>
            <w:r>
              <w:rPr>
                <w:b w:val="0"/>
                <w:sz w:val="20"/>
              </w:rPr>
              <w:t>Registo em nome de quem detém o animal e não de quem é dono</w:t>
            </w:r>
          </w:p>
        </w:tc>
        <w:tc>
          <w:tcPr>
            <w:tcW w:w="3969" w:type="dxa"/>
          </w:tcPr>
          <w:p>
            <w:pPr>
              <w:spacing w:after="60"/>
            </w:pPr>
            <w:r/>
            <w:r>
              <w:rPr>
                <w:b w:val="0"/>
                <w:sz w:val="20"/>
              </w:rPr>
              <w:t>art. 69.º, n.º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T-03</w:t>
            </w:r>
          </w:p>
        </w:tc>
        <w:tc>
          <w:tcPr>
            <w:tcW w:w="5216" w:type="dxa"/>
          </w:tcPr>
          <w:p>
            <w:pPr>
              <w:spacing w:after="60"/>
            </w:pPr>
            <w:r/>
            <w:r>
              <w:rPr>
                <w:b w:val="0"/>
                <w:sz w:val="20"/>
              </w:rPr>
              <w:t>Sem regra sobre o valor do registo SIAC face à propriedade</w:t>
            </w:r>
          </w:p>
        </w:tc>
        <w:tc>
          <w:tcPr>
            <w:tcW w:w="3969" w:type="dxa"/>
          </w:tcPr>
          <w:p>
            <w:pPr>
              <w:spacing w:after="60"/>
            </w:pPr>
            <w:r/>
            <w:r>
              <w:rPr>
                <w:b w:val="0"/>
                <w:sz w:val="20"/>
              </w:rPr>
              <w:t>art. 3.º</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T-04</w:t>
            </w:r>
          </w:p>
        </w:tc>
        <w:tc>
          <w:tcPr>
            <w:tcW w:w="5216" w:type="dxa"/>
          </w:tcPr>
          <w:p>
            <w:pPr>
              <w:spacing w:after="60"/>
            </w:pPr>
            <w:r/>
            <w:r>
              <w:rPr>
                <w:b w:val="0"/>
                <w:sz w:val="20"/>
              </w:rPr>
              <w:t>O detentor deixa de ter de comunicar a morte do animal</w:t>
            </w:r>
          </w:p>
        </w:tc>
        <w:tc>
          <w:tcPr>
            <w:tcW w:w="3969" w:type="dxa"/>
          </w:tcPr>
          <w:p>
            <w:pPr>
              <w:spacing w:after="60"/>
            </w:pPr>
            <w:r/>
            <w:r>
              <w:rPr>
                <w:b w:val="0"/>
                <w:sz w:val="20"/>
              </w:rPr>
              <w:t>art. 76.º,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T-05</w:t>
            </w:r>
          </w:p>
        </w:tc>
        <w:tc>
          <w:tcPr>
            <w:tcW w:w="5216" w:type="dxa"/>
          </w:tcPr>
          <w:p>
            <w:pPr>
              <w:spacing w:after="60"/>
            </w:pPr>
            <w:r/>
            <w:r>
              <w:rPr>
                <w:b w:val="0"/>
                <w:sz w:val="20"/>
              </w:rPr>
              <w:t>A presunção de abandono remete para normas erradas e não diz a quem se aplica</w:t>
            </w:r>
          </w:p>
        </w:tc>
        <w:tc>
          <w:tcPr>
            <w:tcW w:w="3969" w:type="dxa"/>
          </w:tcPr>
          <w:p>
            <w:pPr>
              <w:spacing w:after="60"/>
            </w:pPr>
            <w:r/>
            <w:r>
              <w:rPr>
                <w:b w:val="0"/>
                <w:sz w:val="20"/>
              </w:rPr>
              <w:t>art. 73.º, n.º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T-06</w:t>
            </w:r>
          </w:p>
        </w:tc>
        <w:tc>
          <w:tcPr>
            <w:tcW w:w="5216" w:type="dxa"/>
          </w:tcPr>
          <w:p>
            <w:pPr>
              <w:spacing w:after="60"/>
            </w:pPr>
            <w:r/>
            <w:r>
              <w:rPr>
                <w:b w:val="0"/>
                <w:sz w:val="20"/>
              </w:rPr>
              <w:t>O abandono não aparece como contraordenação</w:t>
            </w:r>
          </w:p>
        </w:tc>
        <w:tc>
          <w:tcPr>
            <w:tcW w:w="3969" w:type="dxa"/>
          </w:tcPr>
          <w:p>
            <w:pPr>
              <w:spacing w:after="60"/>
            </w:pPr>
            <w:r/>
            <w:r>
              <w:rPr>
                <w:b w:val="0"/>
                <w:sz w:val="20"/>
              </w:rPr>
              <w:t>art. 140.º</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T-07</w:t>
            </w:r>
          </w:p>
        </w:tc>
        <w:tc>
          <w:tcPr>
            <w:tcW w:w="5216" w:type="dxa"/>
          </w:tcPr>
          <w:p>
            <w:pPr>
              <w:spacing w:after="60"/>
            </w:pPr>
            <w:r/>
            <w:r>
              <w:rPr>
                <w:b w:val="0"/>
                <w:sz w:val="20"/>
              </w:rPr>
              <w:t>As portarias mantidas usam detentor no sentido antigo</w:t>
            </w:r>
          </w:p>
        </w:tc>
        <w:tc>
          <w:tcPr>
            <w:tcW w:w="3969" w:type="dxa"/>
          </w:tcPr>
          <w:p>
            <w:pPr>
              <w:spacing w:after="60"/>
            </w:pPr>
            <w:r/>
            <w:r>
              <w:rPr>
                <w:b w:val="0"/>
                <w:sz w:val="20"/>
              </w:rPr>
              <w:t>art. 149.º,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T-08</w:t>
            </w:r>
          </w:p>
        </w:tc>
        <w:tc>
          <w:tcPr>
            <w:tcW w:w="5216" w:type="dxa"/>
          </w:tcPr>
          <w:p>
            <w:pPr>
              <w:spacing w:after="60"/>
            </w:pPr>
            <w:r/>
            <w:r>
              <w:rPr>
                <w:b w:val="0"/>
                <w:sz w:val="20"/>
              </w:rPr>
              <w:t>Animais perigosos: o operador pode ser uma sociedade, o titular não</w:t>
            </w:r>
          </w:p>
        </w:tc>
        <w:tc>
          <w:tcPr>
            <w:tcW w:w="3969" w:type="dxa"/>
          </w:tcPr>
          <w:p>
            <w:pPr>
              <w:spacing w:after="60"/>
            </w:pPr>
            <w:r/>
            <w:r>
              <w:rPr>
                <w:b w:val="0"/>
                <w:sz w:val="20"/>
              </w:rPr>
              <w:t>art. 69.º, n.ºs 3, 6 e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T-09</w:t>
            </w:r>
          </w:p>
        </w:tc>
        <w:tc>
          <w:tcPr>
            <w:tcW w:w="5216" w:type="dxa"/>
          </w:tcPr>
          <w:p>
            <w:pPr>
              <w:spacing w:after="60"/>
            </w:pPr>
            <w:r/>
            <w:r>
              <w:rPr>
                <w:b w:val="0"/>
                <w:sz w:val="20"/>
              </w:rPr>
              <w:t>«Titular ou operador» quando o operador já é titular</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T-10</w:t>
            </w:r>
          </w:p>
        </w:tc>
        <w:tc>
          <w:tcPr>
            <w:tcW w:w="5216" w:type="dxa"/>
          </w:tcPr>
          <w:p>
            <w:pPr>
              <w:spacing w:after="60"/>
            </w:pPr>
            <w:r/>
            <w:r>
              <w:rPr>
                <w:b w:val="0"/>
                <w:sz w:val="20"/>
              </w:rPr>
              <w:t>Terminologia do CRO ainda não uniforme</w:t>
            </w:r>
          </w:p>
        </w:tc>
        <w:tc>
          <w:tcPr>
            <w:tcW w:w="3969" w:type="dxa"/>
          </w:tcPr>
          <w:p>
            <w:pPr>
              <w:spacing w:after="60"/>
            </w:pPr>
            <w:r/>
            <w:r>
              <w:rPr>
                <w:b w:val="0"/>
                <w:sz w:val="20"/>
              </w:rPr>
              <w:t>art. 70.º, n.ºs 8 e 9</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T-11</w:t>
            </w:r>
          </w:p>
        </w:tc>
        <w:tc>
          <w:tcPr>
            <w:tcW w:w="5216" w:type="dxa"/>
          </w:tcPr>
          <w:p>
            <w:pPr>
              <w:spacing w:after="60"/>
            </w:pPr>
            <w:r/>
            <w:r>
              <w:rPr>
                <w:b w:val="0"/>
                <w:sz w:val="20"/>
              </w:rPr>
              <w:t>Contraordenação dirigida só aos detentores</w:t>
            </w:r>
          </w:p>
        </w:tc>
        <w:tc>
          <w:tcPr>
            <w:tcW w:w="3969" w:type="dxa"/>
          </w:tcPr>
          <w:p>
            <w:pPr>
              <w:spacing w:after="60"/>
            </w:pPr>
            <w:r/>
            <w:r>
              <w:rPr>
                <w:b w:val="0"/>
                <w:sz w:val="20"/>
              </w:rPr>
              <w:t>art. 140.º,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T-12</w:t>
            </w:r>
          </w:p>
        </w:tc>
        <w:tc>
          <w:tcPr>
            <w:tcW w:w="5216" w:type="dxa"/>
          </w:tcPr>
          <w:p>
            <w:pPr>
              <w:spacing w:after="60"/>
            </w:pPr>
            <w:r/>
            <w:r>
              <w:rPr>
                <w:b w:val="0"/>
                <w:sz w:val="20"/>
              </w:rPr>
              <w:t>Redação por decidir no art. 22.º</w:t>
            </w:r>
          </w:p>
        </w:tc>
        <w:tc>
          <w:tcPr>
            <w:tcW w:w="3969" w:type="dxa"/>
          </w:tcPr>
          <w:p>
            <w:pPr>
              <w:spacing w:after="60"/>
            </w:pPr>
            <w:r/>
            <w:r>
              <w:rPr>
                <w:b w:val="0"/>
                <w:sz w:val="20"/>
              </w:rPr>
              <w:t>art. 22.º,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T-13</w:t>
            </w:r>
          </w:p>
        </w:tc>
        <w:tc>
          <w:tcPr>
            <w:tcW w:w="5216" w:type="dxa"/>
          </w:tcPr>
          <w:p>
            <w:pPr>
              <w:spacing w:after="60"/>
            </w:pPr>
            <w:r/>
            <w:r>
              <w:rPr>
                <w:b w:val="0"/>
                <w:sz w:val="20"/>
              </w:rPr>
              <w:t>Quem responde pelos danos causados pelo animal</w:t>
            </w:r>
          </w:p>
        </w:tc>
        <w:tc>
          <w:tcPr>
            <w:tcW w:w="3969" w:type="dxa"/>
          </w:tcPr>
          <w:p>
            <w:pPr>
              <w:spacing w:after="60"/>
            </w:pPr>
            <w:r/>
            <w:r>
              <w:rPr>
                <w:b w:val="0"/>
                <w:sz w:val="20"/>
              </w:rPr>
              <w:t>sem norma no RGAC, salvo animais perigosos (seguro a cargo do titular)</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T-14</w:t>
            </w:r>
          </w:p>
        </w:tc>
        <w:tc>
          <w:tcPr>
            <w:tcW w:w="5216" w:type="dxa"/>
          </w:tcPr>
          <w:p>
            <w:pPr>
              <w:spacing w:after="60"/>
            </w:pPr>
            <w:r/>
            <w:r>
              <w:rPr>
                <w:b w:val="0"/>
                <w:sz w:val="20"/>
              </w:rPr>
              <w:t>Família de acolhimento sem operador fica sem enquadramento</w:t>
            </w:r>
          </w:p>
        </w:tc>
        <w:tc>
          <w:tcPr>
            <w:tcW w:w="3969" w:type="dxa"/>
          </w:tcPr>
          <w:p>
            <w:pPr>
              <w:spacing w:after="60"/>
            </w:pPr>
            <w:r/>
            <w:r>
              <w:rPr>
                <w:b w:val="0"/>
                <w:sz w:val="20"/>
              </w:rPr>
              <w:t>art. 3.º, definição de «Lar de acolhimento»</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T-15</w:t>
            </w:r>
          </w:p>
        </w:tc>
        <w:tc>
          <w:tcPr>
            <w:tcW w:w="5216" w:type="dxa"/>
          </w:tcPr>
          <w:p>
            <w:pPr>
              <w:spacing w:after="60"/>
            </w:pPr>
            <w:r/>
            <w:r>
              <w:rPr>
                <w:b w:val="0"/>
                <w:sz w:val="20"/>
              </w:rPr>
              <w:t>Quem encontra um animal passa a poder ser punido</w:t>
            </w:r>
          </w:p>
        </w:tc>
        <w:tc>
          <w:tcPr>
            <w:tcW w:w="3969" w:type="dxa"/>
          </w:tcPr>
          <w:p>
            <w:pPr>
              <w:spacing w:after="60"/>
            </w:pPr>
            <w:r/>
            <w:r>
              <w:rPr>
                <w:b w:val="0"/>
                <w:sz w:val="20"/>
              </w:rPr>
              <w:t>art. 91.º, n.º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T-16</w:t>
            </w:r>
          </w:p>
        </w:tc>
        <w:tc>
          <w:tcPr>
            <w:tcW w:w="5216" w:type="dxa"/>
          </w:tcPr>
          <w:p>
            <w:pPr>
              <w:spacing w:after="60"/>
            </w:pPr>
            <w:r/>
            <w:r>
              <w:rPr>
                <w:b w:val="0"/>
                <w:sz w:val="20"/>
              </w:rPr>
              <w:t>Detentores de facto que dizem tratar de animais errantes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T-17</w:t>
            </w:r>
          </w:p>
        </w:tc>
        <w:tc>
          <w:tcPr>
            <w:tcW w:w="5216" w:type="dxa"/>
          </w:tcPr>
          <w:p>
            <w:pPr>
              <w:spacing w:after="60"/>
            </w:pPr>
            <w:r/>
            <w:r>
              <w:rPr>
                <w:b w:val="0"/>
                <w:sz w:val="20"/>
              </w:rPr>
              <w:t>Prazos de comunicação ao SIAC mais pesados do que o Regulamento europeu</w:t>
            </w:r>
          </w:p>
        </w:tc>
        <w:tc>
          <w:tcPr>
            <w:tcW w:w="3969" w:type="dxa"/>
          </w:tcPr>
          <w:p>
            <w:pPr>
              <w:spacing w:after="60"/>
            </w:pPr>
            <w:r/>
            <w:r>
              <w:rPr>
                <w:b w:val="0"/>
                <w:sz w:val="20"/>
              </w:rPr>
              <w:t>art. 73.º,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T-18</w:t>
            </w:r>
          </w:p>
        </w:tc>
        <w:tc>
          <w:tcPr>
            <w:tcW w:w="5216" w:type="dxa"/>
          </w:tcPr>
          <w:p>
            <w:pPr>
              <w:spacing w:after="60"/>
            </w:pPr>
            <w:r/>
            <w:r>
              <w:rPr>
                <w:b w:val="0"/>
                <w:sz w:val="20"/>
              </w:rPr>
              <w:t>Animais deixados em centros veterinários</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C-01</w:t>
            </w:r>
          </w:p>
        </w:tc>
        <w:tc>
          <w:tcPr>
            <w:tcW w:w="5216" w:type="dxa"/>
          </w:tcPr>
          <w:p>
            <w:pPr>
              <w:spacing w:after="60"/>
            </w:pPr>
            <w:r/>
            <w:r>
              <w:rPr>
                <w:b w:val="0"/>
                <w:sz w:val="20"/>
              </w:rPr>
              <w:t>O CED passa a ser só uma faculdade das câmaras</w:t>
            </w:r>
          </w:p>
        </w:tc>
        <w:tc>
          <w:tcPr>
            <w:tcW w:w="3969" w:type="dxa"/>
          </w:tcPr>
          <w:p>
            <w:pPr>
              <w:spacing w:after="60"/>
            </w:pPr>
            <w:r/>
            <w:r>
              <w:rPr>
                <w:b w:val="0"/>
                <w:sz w:val="20"/>
              </w:rPr>
              <w:t>art. 86.º,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C-02</w:t>
            </w:r>
          </w:p>
        </w:tc>
        <w:tc>
          <w:tcPr>
            <w:tcW w:w="5216" w:type="dxa"/>
          </w:tcPr>
          <w:p>
            <w:pPr>
              <w:spacing w:after="60"/>
            </w:pPr>
            <w:r/>
            <w:r>
              <w:rPr>
                <w:b w:val="0"/>
                <w:sz w:val="20"/>
              </w:rPr>
              <w:t>O cuidador de colónia não existe no texto</w:t>
            </w:r>
          </w:p>
        </w:tc>
        <w:tc>
          <w:tcPr>
            <w:tcW w:w="3969" w:type="dxa"/>
          </w:tcPr>
          <w:p>
            <w:pPr>
              <w:spacing w:after="60"/>
            </w:pPr>
            <w:r/>
            <w:r>
              <w:rPr>
                <w:b w:val="0"/>
                <w:sz w:val="20"/>
              </w:rPr>
              <w:t>art. 86.º (todo)</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C-03</w:t>
            </w:r>
          </w:p>
        </w:tc>
        <w:tc>
          <w:tcPr>
            <w:tcW w:w="5216" w:type="dxa"/>
          </w:tcPr>
          <w:p>
            <w:pPr>
              <w:spacing w:after="60"/>
            </w:pPr>
            <w:r/>
            <w:r>
              <w:rPr>
                <w:b w:val="0"/>
                <w:sz w:val="20"/>
              </w:rPr>
              <w:t>Proibição nacional de alimentar animais na via pública</w:t>
            </w:r>
          </w:p>
        </w:tc>
        <w:tc>
          <w:tcPr>
            <w:tcW w:w="3969" w:type="dxa"/>
          </w:tcPr>
          <w:p>
            <w:pPr>
              <w:spacing w:after="60"/>
            </w:pPr>
            <w:r/>
            <w:r>
              <w:rPr>
                <w:b w:val="0"/>
                <w:sz w:val="20"/>
              </w:rPr>
              <w:t>art. 84.º,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C-04</w:t>
            </w:r>
          </w:p>
        </w:tc>
        <w:tc>
          <w:tcPr>
            <w:tcW w:w="5216" w:type="dxa"/>
          </w:tcPr>
          <w:p>
            <w:pPr>
              <w:spacing w:after="60"/>
            </w:pPr>
            <w:r/>
            <w:r>
              <w:rPr>
                <w:b w:val="0"/>
                <w:sz w:val="20"/>
              </w:rPr>
              <w:t>Só as câmaras podem capturar, mas o CED pode ser gerido por outras entidades</w:t>
            </w:r>
          </w:p>
        </w:tc>
        <w:tc>
          <w:tcPr>
            <w:tcW w:w="3969" w:type="dxa"/>
          </w:tcPr>
          <w:p>
            <w:pPr>
              <w:spacing w:after="60"/>
            </w:pPr>
            <w:r/>
            <w:r>
              <w:rPr>
                <w:b w:val="0"/>
                <w:sz w:val="20"/>
              </w:rPr>
              <w:t>art. 91.º,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C-05</w:t>
            </w:r>
          </w:p>
        </w:tc>
        <w:tc>
          <w:tcPr>
            <w:tcW w:w="5216" w:type="dxa"/>
          </w:tcPr>
          <w:p>
            <w:pPr>
              <w:spacing w:after="60"/>
            </w:pPr>
            <w:r/>
            <w:r>
              <w:rPr>
                <w:b w:val="0"/>
                <w:sz w:val="20"/>
              </w:rPr>
              <w:t>Passagem obrigatória pelo CRO antes de o gato entrar na colónia</w:t>
            </w:r>
          </w:p>
        </w:tc>
        <w:tc>
          <w:tcPr>
            <w:tcW w:w="3969" w:type="dxa"/>
          </w:tcPr>
          <w:p>
            <w:pPr>
              <w:spacing w:after="60"/>
            </w:pPr>
            <w:r/>
            <w:r>
              <w:rPr>
                <w:b w:val="0"/>
                <w:sz w:val="20"/>
              </w:rPr>
              <w:t>art. 86.º, n.º 6, al. d)</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C-06</w:t>
            </w:r>
          </w:p>
        </w:tc>
        <w:tc>
          <w:tcPr>
            <w:tcW w:w="5216" w:type="dxa"/>
          </w:tcPr>
          <w:p>
            <w:pPr>
              <w:spacing w:after="60"/>
            </w:pPr>
            <w:r/>
            <w:r>
              <w:rPr>
                <w:b w:val="0"/>
                <w:sz w:val="20"/>
              </w:rPr>
              <w:t>Exclusão dos cães do CED</w:t>
            </w:r>
          </w:p>
        </w:tc>
        <w:tc>
          <w:tcPr>
            <w:tcW w:w="3969" w:type="dxa"/>
          </w:tcPr>
          <w:p>
            <w:pPr>
              <w:spacing w:after="60"/>
            </w:pPr>
            <w:r/>
            <w:r>
              <w:rPr>
                <w:b w:val="0"/>
                <w:sz w:val="20"/>
              </w:rPr>
              <w:t>art. 86.º, n.º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C-07</w:t>
            </w:r>
          </w:p>
        </w:tc>
        <w:tc>
          <w:tcPr>
            <w:tcW w:w="5216" w:type="dxa"/>
          </w:tcPr>
          <w:p>
            <w:pPr>
              <w:spacing w:after="60"/>
            </w:pPr>
            <w:r/>
            <w:r>
              <w:rPr>
                <w:b w:val="0"/>
                <w:sz w:val="20"/>
              </w:rPr>
              <w:t>Remissões e numeração erradas no artigo do CED</w:t>
            </w:r>
          </w:p>
        </w:tc>
        <w:tc>
          <w:tcPr>
            <w:tcW w:w="3969" w:type="dxa"/>
          </w:tcPr>
          <w:p>
            <w:pPr>
              <w:spacing w:after="60"/>
            </w:pPr>
            <w:r/>
            <w:r>
              <w:rPr>
                <w:b w:val="0"/>
                <w:sz w:val="20"/>
              </w:rPr>
              <w:t>art. 86.º, n.ºs 1, 2, 5, 6 e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C-08</w:t>
            </w:r>
          </w:p>
        </w:tc>
        <w:tc>
          <w:tcPr>
            <w:tcW w:w="5216" w:type="dxa"/>
          </w:tcPr>
          <w:p>
            <w:pPr>
              <w:spacing w:after="60"/>
            </w:pPr>
            <w:r/>
            <w:r>
              <w:rPr>
                <w:b w:val="0"/>
                <w:sz w:val="20"/>
              </w:rPr>
              <w:t>Entidade promotora, entidade responsável e titular: quem responde pela colónia</w:t>
            </w:r>
          </w:p>
        </w:tc>
        <w:tc>
          <w:tcPr>
            <w:tcW w:w="3969" w:type="dxa"/>
          </w:tcPr>
          <w:p>
            <w:pPr>
              <w:spacing w:after="60"/>
            </w:pPr>
            <w:r/>
            <w:r>
              <w:rPr>
                <w:b w:val="0"/>
                <w:sz w:val="20"/>
              </w:rPr>
              <w:t>art. 86.º, n.ºs 4, 5 (segundo), 6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C-09</w:t>
            </w:r>
          </w:p>
        </w:tc>
        <w:tc>
          <w:tcPr>
            <w:tcW w:w="5216" w:type="dxa"/>
          </w:tcPr>
          <w:p>
            <w:pPr>
              <w:spacing w:after="60"/>
            </w:pPr>
            <w:r/>
            <w:r>
              <w:rPr>
                <w:b w:val="0"/>
                <w:sz w:val="20"/>
              </w:rPr>
              <w:t>Registo da colónia no SIAC sem conteúdo definido</w:t>
            </w:r>
          </w:p>
        </w:tc>
        <w:tc>
          <w:tcPr>
            <w:tcW w:w="3969" w:type="dxa"/>
          </w:tcPr>
          <w:p>
            <w:pPr>
              <w:spacing w:after="60"/>
            </w:pPr>
            <w:r/>
            <w:r>
              <w:rPr>
                <w:b w:val="0"/>
                <w:sz w:val="20"/>
              </w:rPr>
              <w:t>art. 86.º, n.º 6, al. f)</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C-10</w:t>
            </w:r>
          </w:p>
        </w:tc>
        <w:tc>
          <w:tcPr>
            <w:tcW w:w="5216" w:type="dxa"/>
          </w:tcPr>
          <w:p>
            <w:pPr>
              <w:spacing w:after="60"/>
            </w:pPr>
            <w:r/>
            <w:r>
              <w:rPr>
                <w:b w:val="0"/>
                <w:sz w:val="20"/>
              </w:rPr>
              <w:t>Colónias em prédios privados</w:t>
            </w:r>
          </w:p>
        </w:tc>
        <w:tc>
          <w:tcPr>
            <w:tcW w:w="3969" w:type="dxa"/>
          </w:tcPr>
          <w:p>
            <w:pPr>
              <w:spacing w:after="60"/>
            </w:pPr>
            <w:r/>
            <w:r>
              <w:rPr>
                <w:b w:val="0"/>
                <w:sz w:val="20"/>
              </w:rPr>
              <w:t>art. 87.º</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C-11</w:t>
            </w:r>
          </w:p>
        </w:tc>
        <w:tc>
          <w:tcPr>
            <w:tcW w:w="5216" w:type="dxa"/>
          </w:tcPr>
          <w:p>
            <w:pPr>
              <w:spacing w:after="60"/>
            </w:pPr>
            <w:r/>
            <w:r>
              <w:rPr>
                <w:b w:val="0"/>
                <w:sz w:val="20"/>
              </w:rPr>
              <w:t>CED e conservação da natureza</w:t>
            </w:r>
          </w:p>
        </w:tc>
        <w:tc>
          <w:tcPr>
            <w:tcW w:w="3969" w:type="dxa"/>
          </w:tcPr>
          <w:p>
            <w:pPr>
              <w:spacing w:after="60"/>
            </w:pPr>
            <w:r/>
            <w:r>
              <w:rPr>
                <w:b w:val="0"/>
                <w:sz w:val="20"/>
              </w:rPr>
              <w:t>art. 86.º, n.º 5</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C-12</w:t>
            </w:r>
          </w:p>
        </w:tc>
        <w:tc>
          <w:tcPr>
            <w:tcW w:w="5216" w:type="dxa"/>
          </w:tcPr>
          <w:p>
            <w:pPr>
              <w:spacing w:after="60"/>
            </w:pPr>
            <w:r/>
            <w:r>
              <w:rPr>
                <w:b w:val="0"/>
                <w:sz w:val="20"/>
              </w:rPr>
              <w:t>Gatos de colónia em infração permanente</w:t>
            </w:r>
          </w:p>
        </w:tc>
        <w:tc>
          <w:tcPr>
            <w:tcW w:w="3969" w:type="dxa"/>
          </w:tcPr>
          <w:p>
            <w:pPr>
              <w:spacing w:after="60"/>
            </w:pPr>
            <w:r/>
            <w:r>
              <w:rPr>
                <w:b w:val="0"/>
                <w:sz w:val="20"/>
              </w:rPr>
              <w:t>art. 60.º,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C-13</w:t>
            </w:r>
          </w:p>
        </w:tc>
        <w:tc>
          <w:tcPr>
            <w:tcW w:w="5216" w:type="dxa"/>
          </w:tcPr>
          <w:p>
            <w:pPr>
              <w:spacing w:after="60"/>
            </w:pPr>
            <w:r/>
            <w:r>
              <w:rPr>
                <w:b w:val="0"/>
                <w:sz w:val="20"/>
              </w:rPr>
              <w:t>Crias e gatos sociáveis: retirar ou devolver</w:t>
            </w:r>
          </w:p>
        </w:tc>
        <w:tc>
          <w:tcPr>
            <w:tcW w:w="3969" w:type="dxa"/>
          </w:tcPr>
          <w:p>
            <w:pPr>
              <w:spacing w:after="60"/>
            </w:pPr>
            <w:r/>
            <w:r>
              <w:rPr>
                <w:b w:val="0"/>
                <w:sz w:val="20"/>
              </w:rPr>
              <w:t>art. 86.º, n.º 7</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C-14</w:t>
            </w:r>
          </w:p>
        </w:tc>
        <w:tc>
          <w:tcPr>
            <w:tcW w:w="5216" w:type="dxa"/>
          </w:tcPr>
          <w:p>
            <w:pPr>
              <w:spacing w:after="60"/>
            </w:pPr>
            <w:r/>
            <w:r>
              <w:rPr>
                <w:b w:val="0"/>
                <w:sz w:val="20"/>
              </w:rPr>
              <w:t>Suspensão do programa e recolha dos gatos sem garantias</w:t>
            </w:r>
          </w:p>
        </w:tc>
        <w:tc>
          <w:tcPr>
            <w:tcW w:w="3969" w:type="dxa"/>
          </w:tcPr>
          <w:p>
            <w:pPr>
              <w:spacing w:after="60"/>
            </w:pPr>
            <w:r/>
            <w:r>
              <w:rPr>
                <w:b w:val="0"/>
                <w:sz w:val="20"/>
              </w:rPr>
              <w:t>art. 86.º, n.ºs 2 e 9</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C-15</w:t>
            </w:r>
          </w:p>
        </w:tc>
        <w:tc>
          <w:tcPr>
            <w:tcW w:w="5216" w:type="dxa"/>
          </w:tcPr>
          <w:p>
            <w:pPr>
              <w:spacing w:after="60"/>
            </w:pPr>
            <w:r/>
            <w:r>
              <w:rPr>
                <w:b w:val="0"/>
                <w:sz w:val="20"/>
              </w:rPr>
              <w:t>Meios: médicos veterinários municipais e financiamento</w:t>
            </w:r>
          </w:p>
        </w:tc>
        <w:tc>
          <w:tcPr>
            <w:tcW w:w="3969" w:type="dxa"/>
          </w:tcPr>
          <w:p>
            <w:pPr>
              <w:spacing w:after="60"/>
            </w:pPr>
            <w:r/>
            <w:r>
              <w:rPr>
                <w:b w:val="0"/>
                <w:sz w:val="20"/>
              </w:rPr>
              <w:t>art. 86.º, n.ºs 1, 5 (segundo)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C-16</w:t>
            </w:r>
          </w:p>
        </w:tc>
        <w:tc>
          <w:tcPr>
            <w:tcW w:w="5216" w:type="dxa"/>
          </w:tcPr>
          <w:p>
            <w:pPr>
              <w:spacing w:after="60"/>
            </w:pPr>
            <w:r/>
            <w:r>
              <w:rPr>
                <w:b w:val="0"/>
                <w:sz w:val="20"/>
              </w:rPr>
              <w:t>Conflito com vizinhos e dimensão da colónia</w:t>
            </w:r>
          </w:p>
        </w:tc>
        <w:tc>
          <w:tcPr>
            <w:tcW w:w="3969" w:type="dxa"/>
          </w:tcPr>
          <w:p>
            <w:pPr>
              <w:spacing w:after="60"/>
            </w:pPr>
            <w:r/>
            <w:r>
              <w:rPr>
                <w:b w:val="0"/>
                <w:sz w:val="20"/>
              </w:rPr>
              <w:t>art. 86.º, n.º 6 (segundo)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C-17</w:t>
            </w:r>
          </w:p>
        </w:tc>
        <w:tc>
          <w:tcPr>
            <w:tcW w:w="5216" w:type="dxa"/>
          </w:tcPr>
          <w:p>
            <w:pPr>
              <w:spacing w:after="60"/>
            </w:pPr>
            <w:r/>
            <w:r>
              <w:rPr>
                <w:b w:val="0"/>
                <w:sz w:val="20"/>
              </w:rPr>
              <w:t>Plano municipal de controlo de errantes sem conteúdo mínimo nem consequências</w:t>
            </w:r>
          </w:p>
        </w:tc>
        <w:tc>
          <w:tcPr>
            <w:tcW w:w="3969" w:type="dxa"/>
          </w:tcPr>
          <w:p>
            <w:pPr>
              <w:spacing w:after="60"/>
            </w:pPr>
            <w:r/>
            <w:r>
              <w:rPr>
                <w:b w:val="0"/>
                <w:sz w:val="20"/>
              </w:rPr>
              <w:t>art. 85.º, n.ºs 1 a 3</w:t>
            </w:r>
          </w:p>
        </w:tc>
        <w:tc>
          <w:tcPr>
            <w:tcW w:w="2381" w:type="dxa"/>
          </w:tcPr>
          <w:p>
            <w:pPr>
              <w:spacing w:after="60"/>
            </w:pPr>
            <w:r/>
            <w:r>
              <w:rPr>
                <w:b w:val="0"/>
                <w:sz w:val="20"/>
              </w:rPr>
              <w:t>Já existia</w:t>
            </w:r>
          </w:p>
        </w:tc>
        <w:tc>
          <w:tcPr>
            <w:tcW w:w="1928" w:type="dxa"/>
          </w:tcPr>
          <w:p>
            <w:pPr>
              <w:spacing w:after="60"/>
            </w:pPr>
            <w:r/>
            <w:r>
              <w:rPr>
                <w:b w:val="0"/>
                <w:sz w:val="20"/>
              </w:rPr>
              <w:t>Aberto</w:t>
            </w:r>
          </w:p>
        </w:tc>
      </w:tr>
    </w:tbl>
    <w:p/>
    <w:p>
      <w:r>
        <w:rPr>
          <w:b w:val="0"/>
          <w:i w:val="0"/>
        </w:rPr>
        <w:t>Total: 35 fichas, das quais 31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sobre os dois temas deste memorando. Não se usam notícias de imprensa. As citações estão entre aspas e foram transcritas das fontes indicadas. Tema T: titular, detentor, proprietário e operador. Tema C: CED, colónias e animais errantes.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907"/>
        <w:gridCol w:w="6860"/>
        <w:gridCol w:w="3969"/>
      </w:tblGrid>
      <w:tr>
        <w:trPr>
          <w:tblHeader w:val="true"/>
        </w:trPr>
        <w:tc>
          <w:tcPr>
            <w:tcW w:w="2835" w:type="dxa"/>
          </w:tcPr>
          <w:p>
            <w:pPr>
              <w:spacing w:after="60"/>
            </w:pPr>
            <w:r/>
            <w:r>
              <w:rPr>
                <w:b/>
                <w:sz w:val="20"/>
              </w:rPr>
              <w:t>Entidade</w:t>
            </w:r>
          </w:p>
        </w:tc>
        <w:tc>
          <w:tcPr>
            <w:tcW w:w="907" w:type="dxa"/>
          </w:tcPr>
          <w:p>
            <w:pPr>
              <w:spacing w:after="60"/>
            </w:pPr>
            <w:r/>
            <w:r>
              <w:rPr>
                <w:b/>
                <w:sz w:val="20"/>
              </w:rPr>
              <w:t>Tema</w:t>
            </w:r>
          </w:p>
        </w:tc>
        <w:tc>
          <w:tcPr>
            <w:tcW w:w="6860"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907" w:type="dxa"/>
          </w:tcPr>
          <w:p>
            <w:pPr>
              <w:spacing w:after="60"/>
            </w:pPr>
            <w:r/>
            <w:r>
              <w:rPr>
                <w:b w:val="0"/>
                <w:sz w:val="20"/>
              </w:rPr>
              <w:t>T e C</w:t>
            </w:r>
          </w:p>
        </w:tc>
        <w:tc>
          <w:tcPr>
            <w:tcW w:w="6860"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907" w:type="dxa"/>
          </w:tcPr>
          <w:p>
            <w:pPr>
              <w:spacing w:after="60"/>
            </w:pPr>
            <w:r/>
            <w:r>
              <w:rPr>
                <w:b w:val="0"/>
                <w:sz w:val="20"/>
              </w:rPr>
              <w:t>C</w:t>
            </w:r>
          </w:p>
        </w:tc>
        <w:tc>
          <w:tcPr>
            <w:tcW w:w="6860"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907" w:type="dxa"/>
          </w:tcPr>
          <w:p>
            <w:pPr>
              <w:spacing w:after="60"/>
            </w:pPr>
            <w:r/>
            <w:r>
              <w:rPr>
                <w:b w:val="0"/>
                <w:sz w:val="20"/>
              </w:rPr>
              <w:t>C</w:t>
            </w:r>
          </w:p>
        </w:tc>
        <w:tc>
          <w:tcPr>
            <w:tcW w:w="6860"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907" w:type="dxa"/>
          </w:tcPr>
          <w:p>
            <w:pPr>
              <w:spacing w:after="60"/>
            </w:pPr>
            <w:r/>
            <w:r>
              <w:rPr>
                <w:b w:val="0"/>
                <w:sz w:val="20"/>
              </w:rPr>
              <w:t>T</w:t>
            </w:r>
          </w:p>
        </w:tc>
        <w:tc>
          <w:tcPr>
            <w:tcW w:w="6860"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907" w:type="dxa"/>
          </w:tcPr>
          <w:p>
            <w:pPr>
              <w:spacing w:after="60"/>
            </w:pPr>
            <w:r/>
            <w:r>
              <w:rPr>
                <w:b w:val="0"/>
                <w:sz w:val="20"/>
              </w:rPr>
              <w:t>T</w:t>
            </w:r>
          </w:p>
        </w:tc>
        <w:tc>
          <w:tcPr>
            <w:tcW w:w="6860"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907" w:type="dxa"/>
          </w:tcPr>
          <w:p>
            <w:pPr>
              <w:spacing w:after="60"/>
            </w:pPr>
            <w:r/>
            <w:r>
              <w:rPr>
                <w:b w:val="0"/>
                <w:sz w:val="20"/>
              </w:rPr>
              <w:t>C</w:t>
            </w:r>
          </w:p>
        </w:tc>
        <w:tc>
          <w:tcPr>
            <w:tcW w:w="6860"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907" w:type="dxa"/>
          </w:tcPr>
          <w:p>
            <w:pPr>
              <w:spacing w:after="60"/>
            </w:pPr>
            <w:r/>
            <w:r>
              <w:rPr>
                <w:b w:val="0"/>
                <w:sz w:val="20"/>
              </w:rPr>
              <w:t>C</w:t>
            </w:r>
          </w:p>
        </w:tc>
        <w:tc>
          <w:tcPr>
            <w:tcW w:w="6860"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907" w:type="dxa"/>
          </w:tcPr>
          <w:p>
            <w:pPr>
              <w:spacing w:after="60"/>
            </w:pPr>
            <w:r/>
            <w:r>
              <w:rPr>
                <w:b w:val="0"/>
                <w:sz w:val="20"/>
              </w:rPr>
              <w:t>T e C</w:t>
            </w:r>
          </w:p>
        </w:tc>
        <w:tc>
          <w:tcPr>
            <w:tcW w:w="6860"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907" w:type="dxa"/>
          </w:tcPr>
          <w:p>
            <w:pPr>
              <w:spacing w:after="60"/>
            </w:pPr>
            <w:r/>
            <w:r>
              <w:rPr>
                <w:b w:val="0"/>
                <w:sz w:val="20"/>
              </w:rPr>
              <w:t>C</w:t>
            </w:r>
          </w:p>
        </w:tc>
        <w:tc>
          <w:tcPr>
            <w:tcW w:w="6860"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parlamento.pt, página da iniciativa PJL 88/XVI</w:t>
            </w:r>
          </w:p>
        </w:tc>
      </w:tr>
      <w:tr>
        <w:tc>
          <w:tcPr>
            <w:tcW w:w="2835" w:type="dxa"/>
          </w:tcPr>
          <w:p>
            <w:pPr>
              <w:spacing w:after="60"/>
            </w:pPr>
            <w:r/>
            <w:r>
              <w:rPr>
                <w:b w:val="0"/>
                <w:sz w:val="20"/>
              </w:rPr>
              <w:t>ICNF, ENAE: famílias de acolhimento e cuidadores (2023)</w:t>
            </w:r>
          </w:p>
        </w:tc>
        <w:tc>
          <w:tcPr>
            <w:tcW w:w="907" w:type="dxa"/>
          </w:tcPr>
          <w:p>
            <w:pPr>
              <w:spacing w:after="60"/>
            </w:pPr>
            <w:r/>
            <w:r>
              <w:rPr>
                <w:b w:val="0"/>
                <w:sz w:val="20"/>
              </w:rPr>
              <w:t>T e C</w:t>
            </w:r>
          </w:p>
        </w:tc>
        <w:tc>
          <w:tcPr>
            <w:tcW w:w="6860"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907" w:type="dxa"/>
          </w:tcPr>
          <w:p>
            <w:pPr>
              <w:spacing w:after="60"/>
            </w:pPr>
            <w:r/>
            <w:r>
              <w:rPr>
                <w:b w:val="0"/>
                <w:sz w:val="20"/>
              </w:rPr>
              <w:t>C</w:t>
            </w:r>
          </w:p>
        </w:tc>
        <w:tc>
          <w:tcPr>
            <w:tcW w:w="6860"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907" w:type="dxa"/>
          </w:tcPr>
          <w:p>
            <w:pPr>
              <w:spacing w:after="60"/>
            </w:pPr>
            <w:r/>
            <w:r>
              <w:rPr>
                <w:b w:val="0"/>
                <w:sz w:val="20"/>
              </w:rPr>
              <w:t>C</w:t>
            </w:r>
          </w:p>
        </w:tc>
        <w:tc>
          <w:tcPr>
            <w:tcW w:w="6860"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907" w:type="dxa"/>
          </w:tcPr>
          <w:p>
            <w:pPr>
              <w:spacing w:after="60"/>
            </w:pPr>
            <w:r/>
            <w:r>
              <w:rPr>
                <w:b w:val="0"/>
                <w:sz w:val="20"/>
              </w:rPr>
              <w:t>C</w:t>
            </w:r>
          </w:p>
        </w:tc>
        <w:tc>
          <w:tcPr>
            <w:tcW w:w="6860"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https://academic.oup.com/jel/article/32/3/391/5640440</w:t>
            </w:r>
          </w:p>
        </w:tc>
      </w:tr>
      <w:tr>
        <w:tc>
          <w:tcPr>
            <w:tcW w:w="2835" w:type="dxa"/>
          </w:tcPr>
          <w:p>
            <w:pPr>
              <w:spacing w:after="60"/>
            </w:pPr>
            <w:r/>
            <w:r>
              <w:rPr>
                <w:b w:val="0"/>
                <w:sz w:val="20"/>
              </w:rPr>
              <w:t>Galão e outros, Biological Conservation 305 (Madeira) (2025)</w:t>
            </w:r>
          </w:p>
        </w:tc>
        <w:tc>
          <w:tcPr>
            <w:tcW w:w="907" w:type="dxa"/>
          </w:tcPr>
          <w:p>
            <w:pPr>
              <w:spacing w:after="60"/>
            </w:pPr>
            <w:r/>
            <w:r>
              <w:rPr>
                <w:b w:val="0"/>
                <w:sz w:val="20"/>
              </w:rPr>
              <w:t>C</w:t>
            </w:r>
          </w:p>
        </w:tc>
        <w:tc>
          <w:tcPr>
            <w:tcW w:w="6860"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https://doi.org/10.1016/j.biocon.2025.111089</w:t>
            </w:r>
          </w:p>
        </w:tc>
      </w:tr>
      <w:tr>
        <w:tc>
          <w:tcPr>
            <w:tcW w:w="2835" w:type="dxa"/>
          </w:tcPr>
          <w:p>
            <w:pPr>
              <w:spacing w:after="60"/>
            </w:pPr>
            <w:r/>
            <w:r>
              <w:rPr>
                <w:b w:val="0"/>
                <w:sz w:val="20"/>
              </w:rPr>
              <w:t>Loss, Will e Marra, Nature Communications 4:1396 (2013)</w:t>
            </w:r>
          </w:p>
        </w:tc>
        <w:tc>
          <w:tcPr>
            <w:tcW w:w="907" w:type="dxa"/>
          </w:tcPr>
          <w:p>
            <w:pPr>
              <w:spacing w:after="60"/>
            </w:pPr>
            <w:r/>
            <w:r>
              <w:rPr>
                <w:b w:val="0"/>
                <w:sz w:val="20"/>
              </w:rPr>
              <w:t>C</w:t>
            </w:r>
          </w:p>
        </w:tc>
        <w:tc>
          <w:tcPr>
            <w:tcW w:w="6860"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907" w:type="dxa"/>
          </w:tcPr>
          <w:p>
            <w:pPr>
              <w:spacing w:after="60"/>
            </w:pPr>
            <w:r/>
            <w:r>
              <w:rPr>
                <w:b w:val="0"/>
                <w:sz w:val="20"/>
              </w:rPr>
              <w:t>C</w:t>
            </w:r>
          </w:p>
        </w:tc>
        <w:tc>
          <w:tcPr>
            <w:tcW w:w="6860"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907" w:type="dxa"/>
          </w:tcPr>
          <w:p>
            <w:pPr>
              <w:spacing w:after="60"/>
            </w:pPr>
            <w:r/>
            <w:r>
              <w:rPr>
                <w:b w:val="0"/>
                <w:sz w:val="20"/>
              </w:rPr>
              <w:t>C</w:t>
            </w:r>
          </w:p>
        </w:tc>
        <w:tc>
          <w:tcPr>
            <w:tcW w:w="6860"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907" w:type="dxa"/>
          </w:tcPr>
          <w:p>
            <w:pPr>
              <w:spacing w:after="60"/>
            </w:pPr>
            <w:r/>
            <w:r>
              <w:rPr>
                <w:b w:val="0"/>
                <w:sz w:val="20"/>
              </w:rPr>
              <w:t>C</w:t>
            </w:r>
          </w:p>
        </w:tc>
        <w:tc>
          <w:tcPr>
            <w:tcW w:w="6860"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907" w:type="dxa"/>
          </w:tcPr>
          <w:p>
            <w:pPr>
              <w:spacing w:after="60"/>
            </w:pPr>
            <w:r/>
            <w:r>
              <w:rPr>
                <w:b w:val="0"/>
                <w:sz w:val="20"/>
              </w:rPr>
              <w:t>C</w:t>
            </w:r>
          </w:p>
        </w:tc>
        <w:tc>
          <w:tcPr>
            <w:tcW w:w="6860"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907" w:type="dxa"/>
          </w:tcPr>
          <w:p>
            <w:pPr>
              <w:spacing w:after="60"/>
            </w:pPr>
            <w:r/>
            <w:r>
              <w:rPr>
                <w:b w:val="0"/>
                <w:sz w:val="20"/>
              </w:rPr>
              <w:t>C e T</w:t>
            </w:r>
          </w:p>
        </w:tc>
        <w:tc>
          <w:tcPr>
            <w:tcW w:w="6860"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https://www.ncbi.nlm.nih.gov/pmc/articles/PMC11939513/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907" w:type="dxa"/>
          </w:tcPr>
          <w:p>
            <w:pPr>
              <w:spacing w:after="60"/>
            </w:pPr>
            <w:r/>
            <w:r>
              <w:rPr>
                <w:b w:val="0"/>
                <w:sz w:val="20"/>
              </w:rPr>
              <w:t>T</w:t>
            </w:r>
          </w:p>
        </w:tc>
        <w:tc>
          <w:tcPr>
            <w:tcW w:w="6860"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907" w:type="dxa"/>
          </w:tcPr>
          <w:p>
            <w:pPr>
              <w:spacing w:after="60"/>
            </w:pPr>
            <w:r/>
            <w:r>
              <w:rPr>
                <w:b w:val="0"/>
                <w:sz w:val="20"/>
              </w:rPr>
              <w:t>T</w:t>
            </w:r>
          </w:p>
        </w:tc>
        <w:tc>
          <w:tcPr>
            <w:tcW w:w="6860"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907" w:type="dxa"/>
          </w:tcPr>
          <w:p>
            <w:pPr>
              <w:spacing w:after="60"/>
            </w:pPr>
            <w:r/>
            <w:r>
              <w:rPr>
                <w:b w:val="0"/>
                <w:sz w:val="20"/>
              </w:rPr>
              <w:t>T</w:t>
            </w:r>
          </w:p>
        </w:tc>
        <w:tc>
          <w:tcPr>
            <w:tcW w:w="6860"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907" w:type="dxa"/>
          </w:tcPr>
          <w:p>
            <w:pPr>
              <w:spacing w:after="60"/>
            </w:pPr>
            <w:r/>
            <w:r>
              <w:rPr>
                <w:b w:val="0"/>
                <w:sz w:val="20"/>
              </w:rPr>
              <w:t>T</w:t>
            </w:r>
          </w:p>
        </w:tc>
        <w:tc>
          <w:tcPr>
            <w:tcW w:w="6860"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907" w:type="dxa"/>
          </w:tcPr>
          <w:p>
            <w:pPr>
              <w:spacing w:after="60"/>
            </w:pPr>
            <w:r/>
            <w:r>
              <w:rPr>
                <w:b w:val="0"/>
                <w:sz w:val="20"/>
              </w:rPr>
              <w:t>T</w:t>
            </w:r>
          </w:p>
        </w:tc>
        <w:tc>
          <w:tcPr>
            <w:tcW w:w="6860"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907" w:type="dxa"/>
          </w:tcPr>
          <w:p>
            <w:pPr>
              <w:spacing w:after="60"/>
            </w:pPr>
            <w:r/>
            <w:r>
              <w:rPr>
                <w:b w:val="0"/>
                <w:sz w:val="20"/>
              </w:rPr>
              <w:t>T e C</w:t>
            </w:r>
          </w:p>
        </w:tc>
        <w:tc>
          <w:tcPr>
            <w:tcW w:w="6860"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907" w:type="dxa"/>
          </w:tcPr>
          <w:p>
            <w:pPr>
              <w:spacing w:after="60"/>
            </w:pPr>
            <w:r/>
            <w:r>
              <w:rPr>
                <w:b w:val="0"/>
                <w:sz w:val="20"/>
              </w:rPr>
              <w:t>T</w:t>
            </w:r>
          </w:p>
        </w:tc>
        <w:tc>
          <w:tcPr>
            <w:tcW w:w="6860"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907" w:type="dxa"/>
          </w:tcPr>
          <w:p>
            <w:pPr>
              <w:spacing w:after="60"/>
            </w:pPr>
            <w:r/>
            <w:r>
              <w:rPr>
                <w:b w:val="0"/>
                <w:sz w:val="20"/>
              </w:rPr>
              <w:t>T</w:t>
            </w:r>
          </w:p>
        </w:tc>
        <w:tc>
          <w:tcPr>
            <w:tcW w:w="6860"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907" w:type="dxa"/>
          </w:tcPr>
          <w:p>
            <w:pPr>
              <w:spacing w:after="60"/>
            </w:pPr>
            <w:r/>
            <w:r>
              <w:rPr>
                <w:b w:val="0"/>
                <w:sz w:val="20"/>
              </w:rPr>
              <w:t>T</w:t>
            </w:r>
          </w:p>
        </w:tc>
        <w:tc>
          <w:tcPr>
            <w:tcW w:w="6860"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907" w:type="dxa"/>
          </w:tcPr>
          <w:p>
            <w:pPr>
              <w:spacing w:after="60"/>
            </w:pPr>
            <w:r/>
            <w:r>
              <w:rPr>
                <w:b w:val="0"/>
                <w:sz w:val="20"/>
              </w:rPr>
              <w:t>T</w:t>
            </w:r>
          </w:p>
        </w:tc>
        <w:tc>
          <w:tcPr>
            <w:tcW w:w="6860"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Regulamentos municipais (Lisboa, Porto, Oeiras, Cascais, Sintra, Leiria, entre outros) (vários)</w:t>
            </w:r>
          </w:p>
        </w:tc>
        <w:tc>
          <w:tcPr>
            <w:tcW w:w="907" w:type="dxa"/>
          </w:tcPr>
          <w:p>
            <w:pPr>
              <w:spacing w:after="60"/>
            </w:pPr>
            <w:r/>
            <w:r>
              <w:rPr>
                <w:b w:val="0"/>
                <w:sz w:val="20"/>
              </w:rPr>
              <w:t>C</w:t>
            </w:r>
          </w:p>
        </w:tc>
        <w:tc>
          <w:tcPr>
            <w:tcW w:w="6860" w:type="dxa"/>
          </w:tcPr>
          <w:p>
            <w:pPr>
              <w:spacing w:after="60"/>
            </w:pPr>
            <w:r/>
            <w:r>
              <w:rPr>
                <w:b w:val="0"/>
                <w:sz w:val="20"/>
              </w:rPr>
              <w:t>Proíbem alimentar animais na via pública, com coimas que em Oeiras chegam a 8 000 euros. Em regra excecionam os cuidadores registados.</w:t>
            </w:r>
          </w:p>
        </w:tc>
        <w:tc>
          <w:tcPr>
            <w:tcW w:w="3969" w:type="dxa"/>
          </w:tcPr>
          <w:p>
            <w:pPr>
              <w:spacing w:after="60"/>
            </w:pPr>
            <w:r/>
            <w:r>
              <w:rPr>
                <w:b w:val="0"/>
                <w:sz w:val="20"/>
              </w:rPr>
              <w:t>https://www.oeiras.pt/-/alimentacao-animais-via-publica</w:t>
            </w:r>
          </w:p>
        </w:tc>
      </w:tr>
      <w:tr>
        <w:tc>
          <w:tcPr>
            <w:tcW w:w="2835" w:type="dxa"/>
          </w:tcPr>
          <w:p>
            <w:pPr>
              <w:spacing w:after="60"/>
            </w:pPr>
            <w:r/>
            <w:r>
              <w:rPr>
                <w:b w:val="0"/>
                <w:sz w:val="20"/>
              </w:rPr>
              <w:t>Município do Fundão, Edital 145/2023 (Regulamento do Programa de Gestão das Colónias de Gatos) (23.1.2023)</w:t>
            </w:r>
          </w:p>
        </w:tc>
        <w:tc>
          <w:tcPr>
            <w:tcW w:w="907" w:type="dxa"/>
          </w:tcPr>
          <w:p>
            <w:pPr>
              <w:spacing w:after="60"/>
            </w:pPr>
            <w:r/>
            <w:r>
              <w:rPr>
                <w:b w:val="0"/>
                <w:sz w:val="20"/>
              </w:rPr>
              <w:t>C e T</w:t>
            </w:r>
          </w:p>
        </w:tc>
        <w:tc>
          <w:tcPr>
            <w:tcW w:w="6860"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907" w:type="dxa"/>
          </w:tcPr>
          <w:p>
            <w:pPr>
              <w:spacing w:after="60"/>
            </w:pPr>
            <w:r/>
            <w:r>
              <w:rPr>
                <w:b w:val="0"/>
                <w:sz w:val="20"/>
              </w:rPr>
              <w:t>C e T</w:t>
            </w:r>
          </w:p>
        </w:tc>
        <w:tc>
          <w:tcPr>
            <w:tcW w:w="6860"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907" w:type="dxa"/>
          </w:tcPr>
          <w:p>
            <w:pPr>
              <w:spacing w:after="60"/>
            </w:pPr>
            <w:r/>
            <w:r>
              <w:rPr>
                <w:b w:val="0"/>
                <w:sz w:val="20"/>
              </w:rPr>
              <w:t>T e C</w:t>
            </w:r>
          </w:p>
        </w:tc>
        <w:tc>
          <w:tcPr>
            <w:tcW w:w="6860"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Contributos MVM.docx (repositório)</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907" w:type="dxa"/>
          </w:tcPr>
          <w:p>
            <w:pPr>
              <w:spacing w:after="60"/>
            </w:pPr>
            <w:r/>
            <w:r>
              <w:rPr>
                <w:b w:val="0"/>
                <w:sz w:val="20"/>
              </w:rPr>
              <w:t>T e C</w:t>
            </w:r>
          </w:p>
        </w:tc>
        <w:tc>
          <w:tcPr>
            <w:tcW w:w="6860"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907" w:type="dxa"/>
          </w:tcPr>
          <w:p>
            <w:pPr>
              <w:spacing w:after="60"/>
            </w:pPr>
            <w:r/>
            <w:r>
              <w:rPr>
                <w:b w:val="0"/>
                <w:sz w:val="20"/>
              </w:rPr>
              <w:t>C</w:t>
            </w:r>
          </w:p>
        </w:tc>
        <w:tc>
          <w:tcPr>
            <w:tcW w:w="6860"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FEDRA - Plano de políticas públcias.pdf (repositório)</w:t>
            </w:r>
          </w:p>
        </w:tc>
      </w:tr>
      <w:tr>
        <w:tc>
          <w:tcPr>
            <w:tcW w:w="2835" w:type="dxa"/>
          </w:tcPr>
          <w:p>
            <w:pPr>
              <w:spacing w:after="60"/>
            </w:pPr>
            <w:r/>
            <w:r>
              <w:rPr>
                <w:b w:val="0"/>
                <w:sz w:val="20"/>
              </w:rPr>
              <w:t>Movimento de Intervenção pelas Matilhas (Coimbra) (s/d)</w:t>
            </w:r>
          </w:p>
        </w:tc>
        <w:tc>
          <w:tcPr>
            <w:tcW w:w="907" w:type="dxa"/>
          </w:tcPr>
          <w:p>
            <w:pPr>
              <w:spacing w:after="60"/>
            </w:pPr>
            <w:r/>
            <w:r>
              <w:rPr>
                <w:b w:val="0"/>
                <w:sz w:val="20"/>
              </w:rPr>
              <w:t>C</w:t>
            </w:r>
          </w:p>
        </w:tc>
        <w:tc>
          <w:tcPr>
            <w:tcW w:w="6860"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907" w:type="dxa"/>
          </w:tcPr>
          <w:p>
            <w:pPr>
              <w:spacing w:after="60"/>
            </w:pPr>
            <w:r/>
            <w:r>
              <w:rPr>
                <w:b w:val="0"/>
                <w:sz w:val="20"/>
              </w:rPr>
              <w:t>T</w:t>
            </w:r>
          </w:p>
        </w:tc>
        <w:tc>
          <w:tcPr>
            <w:tcW w:w="6860"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907" w:type="dxa"/>
          </w:tcPr>
          <w:p>
            <w:pPr>
              <w:spacing w:after="60"/>
            </w:pPr>
            <w:r/>
            <w:r>
              <w:rPr>
                <w:b w:val="0"/>
                <w:sz w:val="20"/>
              </w:rPr>
              <w:t>T</w:t>
            </w:r>
          </w:p>
        </w:tc>
        <w:tc>
          <w:tcPr>
            <w:tcW w:w="6860"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Documentos de trabalho do RGBEAC e do RGAC (repositório)</w:t>
            </w:r>
          </w:p>
        </w:tc>
      </w:tr>
      <w:tr>
        <w:tc>
          <w:tcPr>
            <w:tcW w:w="2835" w:type="dxa"/>
          </w:tcPr>
          <w:p>
            <w:pPr>
              <w:spacing w:after="60"/>
            </w:pPr>
            <w:r/>
            <w:r>
              <w:rPr>
                <w:b w:val="0"/>
                <w:sz w:val="20"/>
              </w:rPr>
              <w:t>APMVEAC, revisão crítica da legislação (9.4.2021)</w:t>
            </w:r>
          </w:p>
        </w:tc>
        <w:tc>
          <w:tcPr>
            <w:tcW w:w="907" w:type="dxa"/>
          </w:tcPr>
          <w:p>
            <w:pPr>
              <w:spacing w:after="60"/>
            </w:pPr>
            <w:r/>
            <w:r>
              <w:rPr>
                <w:b w:val="0"/>
                <w:sz w:val="20"/>
              </w:rPr>
              <w:t>T e C</w:t>
            </w:r>
          </w:p>
        </w:tc>
        <w:tc>
          <w:tcPr>
            <w:tcW w:w="6860"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907" w:type="dxa"/>
          </w:tcPr>
          <w:p>
            <w:pPr>
              <w:spacing w:after="60"/>
            </w:pPr>
            <w:r/>
            <w:r>
              <w:rPr>
                <w:b w:val="0"/>
                <w:sz w:val="20"/>
              </w:rPr>
              <w:t>C</w:t>
            </w:r>
          </w:p>
        </w:tc>
        <w:tc>
          <w:tcPr>
            <w:tcW w:w="6860"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907" w:type="dxa"/>
          </w:tcPr>
          <w:p>
            <w:pPr>
              <w:spacing w:after="60"/>
            </w:pPr>
            <w:r/>
            <w:r>
              <w:rPr>
                <w:b w:val="0"/>
                <w:sz w:val="20"/>
              </w:rPr>
              <w:t>T e C</w:t>
            </w:r>
          </w:p>
        </w:tc>
        <w:tc>
          <w:tcPr>
            <w:tcW w:w="6860"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parlamento.pt, página da iniciativa PJL 662/XV (pareceres)</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907" w:type="dxa"/>
          </w:tcPr>
          <w:p>
            <w:pPr>
              <w:spacing w:after="60"/>
            </w:pPr>
            <w:r/>
            <w:r>
              <w:rPr>
                <w:b w:val="0"/>
                <w:sz w:val="20"/>
              </w:rPr>
              <w:t>C</w:t>
            </w:r>
          </w:p>
        </w:tc>
        <w:tc>
          <w:tcPr>
            <w:tcW w:w="6860"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907" w:type="dxa"/>
          </w:tcPr>
          <w:p>
            <w:pPr>
              <w:spacing w:after="60"/>
            </w:pPr>
            <w:r/>
            <w:r>
              <w:rPr>
                <w:b w:val="0"/>
                <w:sz w:val="20"/>
              </w:rPr>
              <w:t>C e T</w:t>
            </w:r>
          </w:p>
        </w:tc>
        <w:tc>
          <w:tcPr>
            <w:tcW w:w="6860"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907" w:type="dxa"/>
          </w:tcPr>
          <w:p>
            <w:pPr>
              <w:spacing w:after="60"/>
            </w:pPr>
            <w:r/>
            <w:r>
              <w:rPr>
                <w:b w:val="0"/>
                <w:sz w:val="20"/>
              </w:rPr>
              <w:t>T e C</w:t>
            </w:r>
          </w:p>
        </w:tc>
        <w:tc>
          <w:tcPr>
            <w:tcW w:w="6860"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907" w:type="dxa"/>
          </w:tcPr>
          <w:p>
            <w:pPr>
              <w:spacing w:after="60"/>
            </w:pPr>
            <w:r/>
            <w:r>
              <w:rPr>
                <w:b w:val="0"/>
                <w:sz w:val="20"/>
              </w:rPr>
              <w:t>T e C</w:t>
            </w:r>
          </w:p>
        </w:tc>
        <w:tc>
          <w:tcPr>
            <w:tcW w:w="6860"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907" w:type="dxa"/>
          </w:tcPr>
          <w:p>
            <w:pPr>
              <w:spacing w:after="60"/>
            </w:pPr>
            <w:r/>
            <w:r>
              <w:rPr>
                <w:b w:val="0"/>
                <w:sz w:val="20"/>
              </w:rPr>
              <w:t>C</w:t>
            </w:r>
          </w:p>
        </w:tc>
        <w:tc>
          <w:tcPr>
            <w:tcW w:w="6860"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907" w:type="dxa"/>
          </w:tcPr>
          <w:p>
            <w:pPr>
              <w:spacing w:after="60"/>
            </w:pPr>
            <w:r/>
            <w:r>
              <w:rPr>
                <w:b w:val="0"/>
                <w:sz w:val="20"/>
              </w:rPr>
              <w:t>C</w:t>
            </w:r>
          </w:p>
        </w:tc>
        <w:tc>
          <w:tcPr>
            <w:tcW w:w="6860"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907" w:type="dxa"/>
          </w:tcPr>
          <w:p>
            <w:pPr>
              <w:spacing w:after="60"/>
            </w:pPr>
            <w:r/>
            <w:r>
              <w:rPr>
                <w:b w:val="0"/>
                <w:sz w:val="20"/>
              </w:rPr>
              <w:t>C</w:t>
            </w:r>
          </w:p>
        </w:tc>
        <w:tc>
          <w:tcPr>
            <w:tcW w:w="6860"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907" w:type="dxa"/>
          </w:tcPr>
          <w:p>
            <w:pPr>
              <w:spacing w:after="60"/>
            </w:pPr>
            <w:r/>
            <w:r>
              <w:rPr>
                <w:b w:val="0"/>
                <w:sz w:val="20"/>
              </w:rPr>
              <w:t>C e T</w:t>
            </w:r>
          </w:p>
        </w:tc>
        <w:tc>
          <w:tcPr>
            <w:tcW w:w="6860"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parlamento.pt, página da iniciativa PJL 662/XV</w:t>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C. Fontes</w:t>
      </w:r>
    </w:p>
    <w:p>
      <w:pPr>
        <w:spacing w:after="60"/>
      </w:pPr>
      <w:r>
        <w:rPr>
          <w:b w:val="0"/>
          <w:i w:val="0"/>
        </w:rPr>
        <w:t>RGAC: RGAC_DAJA_REV. FORMAL_V1_Versão TRABALHO - Revisto 30-06-2026 18h00 Grupo.docx (repositório).</w:t>
      </w:r>
    </w:p>
    <w:p>
      <w:pPr>
        <w:spacing w:after="60"/>
      </w:pPr>
      <w:r>
        <w:rPr>
          <w:b w:val="0"/>
          <w:i w:val="0"/>
        </w:rPr>
        <w:t>RGBEAC (jun. 2025) e versões comentadas de out. 2025 e fev. 2026 (repositório).</w:t>
      </w:r>
    </w:p>
    <w:p>
      <w:pPr>
        <w:spacing w:after="60"/>
      </w:pPr>
      <w:r>
        <w:rPr>
          <w:b w:val="0"/>
          <w:i w:val="0"/>
        </w:rPr>
        <w:t>DL 82/2019, DL 276/2001, DL 314/2003, DL 315/2009, Portaria 146/2017: versões consolidadas no DRE (diariodarepublica.pt), confirmadas na pasta Legislação vigente e no repositório.</w:t>
      </w:r>
    </w:p>
    <w:p>
      <w:pPr>
        <w:spacing w:after="60"/>
      </w:pPr>
      <w:r>
        <w:rPr>
          <w:b w:val="0"/>
          <w:i w:val="0"/>
        </w:rPr>
        <w:t>Código Civil e Código Penal: versões em vigor na PGDL (pgdlisboa.pt).</w:t>
      </w:r>
    </w:p>
    <w:p>
      <w:pPr>
        <w:spacing w:after="60"/>
      </w:pPr>
      <w:r>
        <w:rPr>
          <w:b w:val="0"/>
          <w:i w:val="0"/>
        </w:rPr>
        <w:t>Lei 27/2016 (repositório e DRE).</w:t>
      </w:r>
    </w:p>
    <w:p>
      <w:pPr>
        <w:spacing w:after="60"/>
      </w:pPr>
      <w:r>
        <w:rPr>
          <w:b w:val="0"/>
          <w:i w:val="0"/>
        </w:rPr>
        <w:t>Regulamento (UE) 2026/1818, JO L de 10.8.2026 (versões PT e EN no repositório).</w:t>
      </w:r>
    </w:p>
    <w:p>
      <w:pPr>
        <w:spacing w:after="60"/>
      </w:pPr>
      <w:r>
        <w:rPr>
          <w:b w:val="0"/>
          <w:i w:val="0"/>
        </w:rPr>
        <w:t>Estratégia Nacional para os Animais Errantes, ICNF, consulta pública de 2023: https://www.icnf.pt/api/file/doc/41f8f44aee23be1a</w:t>
      </w:r>
    </w:p>
    <w:p>
      <w:pPr>
        <w:spacing w:after="60"/>
      </w:pPr>
      <w:r>
        <w:rPr>
          <w:b w:val="0"/>
          <w:i w:val="0"/>
        </w:rPr>
        <w:t>Relatório final do GTBEA, DGAV, 2021: https://www.dgav.pt/wp-content/uploads/2021/08/Relatorio-FINAL-avaliacao-da-implementacao-da-Lei-27-2016.pdf</w:t>
      </w:r>
    </w:p>
    <w:p>
      <w:pPr>
        <w:spacing w:after="60"/>
      </w:pPr>
      <w:r>
        <w:rPr>
          <w:b w:val="0"/>
          <w:i w:val="0"/>
        </w:rPr>
        <w:t>Projeto de revisão da Portaria 146/2017 (ANMP, 2021): https://anmp.pt/file-viewer/?pstid=41508</w:t>
      </w:r>
    </w:p>
    <w:p>
      <w:pPr>
        <w:spacing w:after="60"/>
      </w:pPr>
      <w:r>
        <w:rPr>
          <w:b w:val="0"/>
          <w:i w:val="0"/>
        </w:rPr>
        <w:t>Contributos dos médicos veterinários municipais, reunião de 6.3.2026 (Contributos MVM.docx, repositório).</w:t>
      </w:r>
    </w:p>
    <w:p>
      <w:pPr>
        <w:spacing w:after="60"/>
      </w:pPr>
      <w:r>
        <w:rPr>
          <w:b w:val="0"/>
          <w:i w:val="0"/>
        </w:rPr>
        <w:t>Acórdão do Tribunal da Relação de Lisboa de 30.4.2025, proc. 1642/24.4T8AMD.L1-8 (dgsi.pt).</w:t>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1417"/>
        <w:gridCol w:w="6633"/>
      </w:tblGrid>
      <w:tr>
        <w:tc>
          <w:tcPr>
            <w:tcW w:w="1020" w:type="dxa"/>
          </w:tcPr>
          <w:p>
            <w:pPr>
              <w:spacing w:after="60"/>
            </w:pPr>
            <w:r/>
            <w:r>
              <w:rPr>
                <w:b/>
                <w:sz w:val="20"/>
              </w:rPr>
              <w:t>Versão</w:t>
            </w:r>
          </w:p>
        </w:tc>
        <w:tc>
          <w:tcPr>
            <w:tcW w:w="1417" w:type="dxa"/>
          </w:tcPr>
          <w:p>
            <w:pPr>
              <w:spacing w:after="60"/>
            </w:pPr>
            <w:r/>
            <w:r>
              <w:rPr>
                <w:b/>
                <w:sz w:val="20"/>
              </w:rPr>
              <w:t>Data</w:t>
            </w:r>
          </w:p>
        </w:tc>
        <w:tc>
          <w:tcPr>
            <w:tcW w:w="6633" w:type="dxa"/>
          </w:tcPr>
          <w:p>
            <w:pPr>
              <w:spacing w:after="60"/>
            </w:pPr>
            <w:r/>
            <w:r>
              <w:rPr>
                <w:b/>
                <w:sz w:val="20"/>
              </w:rPr>
              <w:t>Alterações</w:t>
            </w:r>
          </w:p>
        </w:tc>
      </w:tr>
      <w:tr>
        <w:tc>
          <w:tcPr>
            <w:tcW w:w="1020" w:type="dxa"/>
          </w:tcPr>
          <w:p>
            <w:pPr>
              <w:spacing w:after="60"/>
            </w:pPr>
            <w:r/>
            <w:r>
              <w:rPr>
                <w:b w:val="0"/>
                <w:sz w:val="20"/>
              </w:rPr>
              <w:t>1</w:t>
            </w:r>
          </w:p>
        </w:tc>
        <w:tc>
          <w:tcPr>
            <w:tcW w:w="1417" w:type="dxa"/>
          </w:tcPr>
          <w:p>
            <w:pPr>
              <w:spacing w:after="60"/>
            </w:pPr>
            <w:r/>
            <w:r>
              <w:rPr>
                <w:b w:val="0"/>
                <w:sz w:val="20"/>
              </w:rPr>
              <w:t>25.9.2026</w:t>
            </w:r>
          </w:p>
        </w:tc>
        <w:tc>
          <w:tcPr>
            <w:tcW w:w="6633" w:type="dxa"/>
          </w:tcPr>
          <w:p>
            <w:pPr>
              <w:spacing w:after="60"/>
            </w:pPr>
            <w:r/>
            <w:r>
              <w:rPr>
                <w:b w:val="0"/>
                <w:sz w:val="20"/>
              </w:rPr>
              <w:t>Primeira versão. Tema T (18 fichas) e tema C (17 fichas). Anexo B com posições de entidades externas recolhidas no repositório e online.</w:t>
            </w:r>
          </w:p>
        </w:tc>
      </w:tr>
      <w:tr>
        <w:tc>
          <w:tcPr>
            <w:tcW w:w="1020" w:type="dxa"/>
          </w:tcPr>
          <w:p>
            <w:pPr>
              <w:spacing w:after="60"/>
            </w:pPr>
            <w:r/>
            <w:r>
              <w:rPr>
                <w:b w:val="0"/>
                <w:sz w:val="20"/>
              </w:rPr>
              <w:t>1.1</w:t>
            </w:r>
          </w:p>
        </w:tc>
        <w:tc>
          <w:tcPr>
            <w:tcW w:w="1417" w:type="dxa"/>
          </w:tcPr>
          <w:p>
            <w:pPr>
              <w:spacing w:after="60"/>
            </w:pPr>
            <w:r/>
            <w:r>
              <w:rPr>
                <w:b w:val="0"/>
                <w:sz w:val="20"/>
              </w:rPr>
              <w:t>25.9.2026</w:t>
            </w:r>
          </w:p>
        </w:tc>
        <w:tc>
          <w:tcPr>
            <w:tcW w:w="6633" w:type="dxa"/>
          </w:tcPr>
          <w:p>
            <w:pPr>
              <w:spacing w:after="60"/>
            </w:pPr>
            <w:r/>
            <w:r>
              <w:rPr>
                <w:b w:val="0"/>
                <w:sz w:val="20"/>
              </w:rPr>
              <w:t>Correção de formatação: larguras fixas das colunas em todas as tabelas; anexos A e B em páginas na horizontal. Sem alterações de conteúdo.</w:t>
            </w:r>
          </w:p>
        </w:tc>
      </w:tr>
      <w:tr>
        <w:tc>
          <w:tcPr>
            <w:tcW w:w="1020" w:type="dxa"/>
          </w:tcPr>
          <w:p>
            <w:pPr>
              <w:spacing w:after="60"/>
            </w:pPr>
            <w:r/>
            <w:r>
              <w:rPr>
                <w:b w:val="0"/>
                <w:sz w:val="20"/>
              </w:rPr>
              <w:t>1.2</w:t>
            </w:r>
          </w:p>
        </w:tc>
        <w:tc>
          <w:tcPr>
            <w:tcW w:w="1417" w:type="dxa"/>
          </w:tcPr>
          <w:p>
            <w:pPr>
              <w:spacing w:after="60"/>
            </w:pPr>
            <w:r/>
            <w:r>
              <w:rPr>
                <w:b w:val="0"/>
                <w:sz w:val="20"/>
              </w:rPr>
              <w:t>25.9.2026</w:t>
            </w:r>
          </w:p>
        </w:tc>
        <w:tc>
          <w:tcPr>
            <w:tcW w:w="6633"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020" w:type="dxa"/>
          </w:tcPr>
          <w:p>
            <w:pPr>
              <w:spacing w:after="60"/>
            </w:pPr>
            <w:r/>
            <w:r>
              <w:rPr>
                <w:b w:val="0"/>
                <w:sz w:val="20"/>
              </w:rPr>
              <w:t>1.3</w:t>
            </w:r>
          </w:p>
        </w:tc>
        <w:tc>
          <w:tcPr>
            <w:tcW w:w="1417" w:type="dxa"/>
          </w:tcPr>
          <w:p>
            <w:pPr>
              <w:spacing w:after="60"/>
            </w:pPr>
            <w:r/>
            <w:r>
              <w:rPr>
                <w:b w:val="0"/>
                <w:sz w:val="20"/>
              </w:rPr>
              <w:t>25.9.2026</w:t>
            </w:r>
          </w:p>
        </w:tc>
        <w:tc>
          <w:tcPr>
            <w:tcW w:w="6633"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020" w:type="dxa"/>
          </w:tcPr>
          <w:p>
            <w:pPr>
              <w:spacing w:after="60"/>
            </w:pPr>
            <w:r/>
            <w:r>
              <w:rPr>
                <w:b w:val="0"/>
                <w:sz w:val="20"/>
              </w:rPr>
              <w:t>1.4</w:t>
            </w:r>
          </w:p>
        </w:tc>
        <w:tc>
          <w:tcPr>
            <w:tcW w:w="1417" w:type="dxa"/>
          </w:tcPr>
          <w:p>
            <w:pPr>
              <w:spacing w:after="60"/>
            </w:pPr>
            <w:r/>
            <w:r>
              <w:rPr>
                <w:b w:val="0"/>
                <w:sz w:val="20"/>
              </w:rPr>
              <w:t>25.9.2026</w:t>
            </w:r>
          </w:p>
        </w:tc>
        <w:tc>
          <w:tcPr>
            <w:tcW w:w="6633"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020" w:type="dxa"/>
          </w:tcPr>
          <w:p>
            <w:pPr>
              <w:spacing w:after="60"/>
            </w:pPr>
            <w:r/>
            <w:r>
              <w:rPr>
                <w:b w:val="0"/>
                <w:sz w:val="20"/>
              </w:rPr>
              <w:t>1.5</w:t>
            </w:r>
          </w:p>
        </w:tc>
        <w:tc>
          <w:tcPr>
            <w:tcW w:w="1417" w:type="dxa"/>
          </w:tcPr>
          <w:p>
            <w:pPr>
              <w:spacing w:after="60"/>
            </w:pPr>
            <w:r/>
            <w:r>
              <w:rPr>
                <w:b w:val="0"/>
                <w:sz w:val="20"/>
              </w:rPr>
              <w:t>27.9.2026</w:t>
            </w:r>
          </w:p>
        </w:tc>
        <w:tc>
          <w:tcPr>
            <w:tcW w:w="6633" w:type="dxa"/>
          </w:tcPr>
          <w:p>
            <w:pPr>
              <w:spacing w:after="60"/>
            </w:pPr>
            <w:r/>
            <w:r>
              <w:rPr>
                <w:b w:val="0"/>
                <w:sz w:val="20"/>
              </w:rPr>
              <w:t>Retiradas do memorando todas as notícias de imprensa: 26 entradas do Anexo B, 20 referências nas fichas e uma frase da ficha C-17. O Anexo B passa a ter só fontes documentais.</w:t>
            </w:r>
          </w:p>
        </w:tc>
      </w:tr>
    </w:tbl>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1.5.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