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293" w:lineRule="auto"/>
      </w:pPr>
      <w:r>
        <w:rPr>
          <w:rFonts w:ascii="Aptos" w:hAnsi="Aptos" w:cs="Aptos" w:eastAsia="Aptos"/>
          <w:b/>
          <w:i w:val="0"/>
          <w:color w:val="5C7891"/>
          <w:spacing w:val="50"/>
          <w:sz w:val="17"/>
        </w:rPr>
        <w:t>ESTUDO JURÍDICO</w:t>
      </w:r>
    </w:p>
    <w:p>
      <w:pPr>
        <w:spacing w:before="0" w:after="40" w:line="293" w:lineRule="auto"/>
      </w:pPr>
      <w:r>
        <w:rPr>
          <w:rFonts w:ascii="Aptos" w:hAnsi="Aptos" w:cs="Aptos" w:eastAsia="Aptos"/>
          <w:b/>
          <w:i w:val="0"/>
          <w:color w:val="35506B"/>
          <w:sz w:val="42"/>
        </w:rPr>
        <w:t>Os limites de detenção por fogo e a lotação dos alojamentos registados</w:t>
      </w:r>
    </w:p>
    <w:p>
      <w:pPr>
        <w:spacing w:before="0" w:after="200" w:line="293" w:lineRule="auto"/>
      </w:pPr>
      <w:r>
        <w:rPr>
          <w:rFonts w:ascii="Aptos" w:hAnsi="Aptos" w:cs="Aptos" w:eastAsia="Aptos"/>
          <w:b w:val="0"/>
          <w:i w:val="0"/>
          <w:color w:val="5C7891"/>
          <w:sz w:val="22"/>
        </w:rPr>
        <w:t>Artigo 3.º do Decreto-Lei n.º 314/2003 e artigo 3.º-A do Decreto-Lei n.º 276/2001 — delimitação recíproca</w:t>
      </w:r>
    </w:p>
    <w:p>
      <w:pPr>
        <w:pBdr>
          <w:bottom w:val="single" w:sz="8" w:space="1" w:color="A9C2D8"/>
        </w:pBdr>
        <w:spacing w:before="0" w:after="120" w:line="40" w:lineRule="exact"/>
      </w:pPr>
    </w:p>
    <w:p>
      <w:pPr>
        <w:spacing w:before="0" w:after="280" w:line="293" w:lineRule="auto"/>
      </w:pPr>
      <w:r>
        <w:rPr>
          <w:rFonts w:ascii="Aptos" w:hAnsi="Aptos" w:cs="Aptos" w:eastAsia="Aptos"/>
          <w:b w:val="0"/>
          <w:i w:val="0"/>
          <w:color w:val="7C8894"/>
          <w:sz w:val="17"/>
        </w:rPr>
        <w:t>Direção-Geral de Alimentação e Veterinária   ·   setembro de 2026</w:t>
      </w:r>
    </w:p>
    <w:p>
      <w:pPr>
        <w:keepNext/>
        <w:spacing w:before="360" w:after="40" w:line="293" w:lineRule="auto"/>
      </w:pPr>
      <w:r>
        <w:rPr>
          <w:rFonts w:ascii="Aptos" w:hAnsi="Aptos" w:cs="Aptos" w:eastAsia="Aptos"/>
          <w:b/>
          <w:i w:val="0"/>
          <w:color w:val="5C7891"/>
          <w:sz w:val="27"/>
        </w:rPr>
        <w:t xml:space="preserve">1.  </w:t>
      </w:r>
      <w:r>
        <w:rPr>
          <w:rFonts w:ascii="Aptos" w:hAnsi="Aptos" w:cs="Aptos" w:eastAsia="Aptos"/>
          <w:b/>
          <w:i w:val="0"/>
          <w:color w:val="35506B"/>
          <w:sz w:val="27"/>
        </w:rPr>
        <w:t>Questão, delimitação do objeto e método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Pergunta-se se os limites de animais fixados para prédios urbanos no n.º 2 do artigo 3.º do Decreto-Lei n.º 314/2003 condicionam a lotação de um alojamento registado por mera comunicação prévia nos termos do artigo 3.º-A do Decreto-Lei n.º 276/2001.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C9D2DA"/>
              <w:bottom w:val="nil"/>
              <w:right w:val="nil"/>
            </w:tcBorders>
            <w:shd w:val="clear" w:color="auto" w:fill="F6F7F8"/>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8"/>
              </w:rPr>
              <w:t>Delimitação do objeto.</w:t>
            </w:r>
            <w:r>
              <w:rPr>
                <w:rFonts w:ascii="Aptos" w:hAnsi="Aptos" w:cs="Aptos" w:eastAsia="Aptos"/>
                <w:b w:val="0"/>
                <w:i w:val="0"/>
                <w:color w:val="2B2B2B"/>
                <w:sz w:val="18"/>
              </w:rPr>
              <w:t xml:space="preserve"> Trata-se de questão de direito interno vigente. O Regulamento (UE) 2026/1818 e o projeto de diploma consolidado ficam expressamente fora deste estudo. A ponte entre eles, se houver lugar a ela, faz-se noutro documento e depois.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método foi o seguinte. Partiu-se do texto de ambos os diplomas e confrontou-se com quatro ordens de elemento: os argumentos que sustentam a aplicação dos limites ao estabelecimento, os que a afastam, a jurisprudência dos tribunais superiores e a prática administrativa. Os elementos desfavoráveis à conclusão final são apresentados em primeiro lugar e sem atenuação. Todas as citações são verbatim.</w:t>
      </w:r>
    </w:p>
    <w:p>
      <w:pPr>
        <w:keepNext/>
        <w:spacing w:before="360" w:after="40" w:line="293" w:lineRule="auto"/>
      </w:pPr>
      <w:r>
        <w:rPr>
          <w:rFonts w:ascii="Aptos" w:hAnsi="Aptos" w:cs="Aptos" w:eastAsia="Aptos"/>
          <w:b/>
          <w:i w:val="0"/>
          <w:color w:val="5C7891"/>
          <w:sz w:val="27"/>
        </w:rPr>
        <w:t xml:space="preserve">2.  </w:t>
      </w:r>
      <w:r>
        <w:rPr>
          <w:rFonts w:ascii="Aptos" w:hAnsi="Aptos" w:cs="Aptos" w:eastAsia="Aptos"/>
          <w:b/>
          <w:i w:val="0"/>
          <w:color w:val="35506B"/>
          <w:sz w:val="27"/>
        </w:rPr>
        <w:t>Conclusões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Esta síntese é o resumo de leitura rápida do estudo. Cada ponto é autónomo e cabe num parágrafo, com remissão para o capítulo que o desenvolve. É atualizada sempre que uma das questões do capítulo 17 recebe resposta.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Os limites do n.º 2 do artigo 3.º do Decreto-Lei n.º 314/2003 </w:t>
            </w:r>
            <w:r>
              <w:rPr>
                <w:rFonts w:ascii="Aptos" w:hAnsi="Aptos" w:cs="Aptos" w:eastAsia="Aptos"/>
                <w:b/>
                <w:i w:val="0"/>
                <w:color w:val="2B2B2B"/>
                <w:sz w:val="20"/>
              </w:rPr>
              <w:t>não fixam a lotação de um alojamento registado</w:t>
            </w:r>
            <w:r>
              <w:rPr>
                <w:rFonts w:ascii="Aptos" w:hAnsi="Aptos" w:cs="Aptos" w:eastAsia="Aptos"/>
                <w:b w:val="0"/>
                <w:i w:val="0"/>
                <w:color w:val="2B2B2B"/>
                <w:sz w:val="20"/>
              </w:rPr>
              <w:t xml:space="preserve"> — mas por uma razão precisa, e com um caso residual em que a resposta é afirmativa.</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 xml:space="preserve">A unidade de contagem do n.º 2 é o </w:t>
      </w:r>
      <w:r>
        <w:rPr>
          <w:rFonts w:ascii="Aptos" w:hAnsi="Aptos" w:cs="Aptos" w:eastAsia="Aptos"/>
          <w:b/>
          <w:i w:val="0"/>
          <w:color w:val="2B2B2B"/>
          <w:sz w:val="20"/>
        </w:rPr>
        <w:t>fogo</w:t>
      </w:r>
      <w:r>
        <w:rPr>
          <w:rFonts w:ascii="Aptos" w:hAnsi="Aptos" w:cs="Aptos" w:eastAsia="Aptos"/>
          <w:b w:val="0"/>
          <w:i w:val="0"/>
          <w:color w:val="2B2B2B"/>
          <w:sz w:val="20"/>
        </w:rPr>
        <w:t>, não o prédio. Onde não há fogo, a norma não tem campo operativo. Capítulo 5.</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xml:space="preserve">, e não o agregado doméstico nem a fração autónoma. O Regime Jurídico da Urbanização e Edificação, em vigor, opõe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uma unidade cuja utilização não seja a habitação não é um fogo. Capítulo 5.</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Um alojamento registado não é um fogo: o artigo 25.º do Decreto-Lei n.º 276/2001 obriga-o a possuir </w:t>
      </w:r>
      <w:r>
        <w:rPr>
          <w:rFonts w:ascii="Aptos" w:hAnsi="Aptos" w:cs="Aptos" w:eastAsia="Aptos"/>
          <w:b/>
          <w:i w:val="0"/>
          <w:color w:val="2B2B2B"/>
          <w:sz w:val="20"/>
        </w:rPr>
        <w:t>instalações individualizadas</w:t>
      </w:r>
      <w:r>
        <w:rPr>
          <w:rFonts w:ascii="Aptos" w:hAnsi="Aptos" w:cs="Aptos" w:eastAsia="Aptos"/>
          <w:b w:val="0"/>
          <w:i w:val="0"/>
          <w:color w:val="2B2B2B"/>
          <w:sz w:val="20"/>
        </w:rPr>
        <w:t>, o que o diferencia necessariamente da habitação. Capítulo 7.</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próprio Decreto-Lei n.º 276/2001 </w:t>
      </w:r>
      <w:r>
        <w:rPr>
          <w:rFonts w:ascii="Aptos" w:hAnsi="Aptos" w:cs="Aptos" w:eastAsia="Aptos"/>
          <w:b/>
          <w:i w:val="0"/>
          <w:color w:val="2B2B2B"/>
          <w:sz w:val="20"/>
        </w:rPr>
        <w:t>prevê e regula os hotéis para animais</w:t>
      </w:r>
      <w:r>
        <w:rPr>
          <w:rFonts w:ascii="Aptos" w:hAnsi="Aptos" w:cs="Aptos" w:eastAsia="Aptos"/>
          <w:b w:val="0"/>
          <w:i w:val="0"/>
          <w:color w:val="2B2B2B"/>
          <w:sz w:val="20"/>
        </w:rPr>
        <w:t xml:space="preserve"> — al. q) do n.º 1 do artigo 2.º e n.º 4 do artigo 25.º —, exigindo-lhes instalações individualizadas. A licitude da hospedagem remunerada não depende, por isso, de um argumento de absurdidade: está na letra do diploma. Capítulo 8.</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Os </w:t>
      </w:r>
      <w:r>
        <w:rPr>
          <w:rFonts w:ascii="Aptos" w:hAnsi="Aptos" w:cs="Aptos" w:eastAsia="Aptos"/>
          <w:b/>
          <w:i w:val="0"/>
          <w:color w:val="2B2B2B"/>
          <w:sz w:val="20"/>
        </w:rPr>
        <w:t>títulos de acesso</w:t>
      </w:r>
      <w:r>
        <w:rPr>
          <w:rFonts w:ascii="Aptos" w:hAnsi="Aptos" w:cs="Aptos" w:eastAsia="Aptos"/>
          <w:b w:val="0"/>
          <w:i w:val="0"/>
          <w:color w:val="2B2B2B"/>
          <w:sz w:val="20"/>
        </w:rPr>
        <w:t xml:space="preserve"> às atividades com animais deixaram de ser municipais. A guarda remunerada e a criação comercial passaram a mera comunicação prévia à DGAV; o comércio a retalho passou ao regime do Decreto-Lei n.º 10/2015. A autorização municipal do artigo 2.º da Lei n.º 92/95 subsiste apenas quanto a atividades que não são de alojar, pelo que não é via de entrada dos limites do artigo 3.º. Capítulo 13.</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 xml:space="preserve">A </w:t>
      </w:r>
      <w:r>
        <w:rPr>
          <w:rFonts w:ascii="Aptos" w:hAnsi="Aptos" w:cs="Aptos" w:eastAsia="Aptos"/>
          <w:b/>
          <w:i w:val="0"/>
          <w:color w:val="2B2B2B"/>
          <w:sz w:val="20"/>
        </w:rPr>
        <w:t>única ponte expressa</w:t>
      </w:r>
      <w:r>
        <w:rPr>
          <w:rFonts w:ascii="Aptos" w:hAnsi="Aptos" w:cs="Aptos" w:eastAsia="Aptos"/>
          <w:b w:val="0"/>
          <w:i w:val="0"/>
          <w:color w:val="2B2B2B"/>
          <w:sz w:val="20"/>
        </w:rPr>
        <w:t xml:space="preserve"> entre os dois diplomas é a al. p) do n.º 1 do artigo 2.º do Decreto-Lei n.º 276/2001, acrescentada pelo Decreto-Lei n.º 315/2003 no mesmo Diário da República em que saiu o Decreto-Lei n.º 314/2003. Exclui do conceito de hospedagem sem fins lucrativos o alojamento em fração autónoma — o único espaço onde a diferenciação material é impossível. Tendo o legislador cruzado os dois diplomas uma única vez e para efeito tão estreito, o silêncio quanto à lotação é qualificado. Capítulo 14.</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 </w:t>
      </w:r>
      <w:r>
        <w:rPr>
          <w:rFonts w:ascii="Aptos" w:hAnsi="Aptos" w:cs="Aptos" w:eastAsia="Aptos"/>
          <w:b/>
          <w:i w:val="0"/>
          <w:color w:val="2B2B2B"/>
          <w:sz w:val="20"/>
        </w:rPr>
        <w:t>n.º 4</w:t>
      </w:r>
      <w:r>
        <w:rPr>
          <w:rFonts w:ascii="Aptos" w:hAnsi="Aptos" w:cs="Aptos" w:eastAsia="Aptos"/>
          <w:b w:val="0"/>
          <w:i w:val="0"/>
          <w:color w:val="2B2B2B"/>
          <w:sz w:val="20"/>
        </w:rPr>
        <w:t xml:space="preserve"> do artigo 3.º, para prédios rústicos e mistos, não fixa número: seis animais, «podendo tal número ser excedido se a dimensão do terreno o permitir», sem teto e sem autorização prévia. Uma norma que não fixa número não pode ser a norma de lotação de um estabelecimento. O artigo 3.º gradua densidade doméstica; a capacidade dos alojamentos mede-se pelo anexo III. Capítulo 15.</w:t>
      </w:r>
    </w:p>
    <w:p>
      <w:pPr>
        <w:spacing w:before="0" w:after="100" w:line="293" w:lineRule="auto"/>
        <w:ind w:left="408" w:hanging="408"/>
        <w:jc w:val="both"/>
      </w:pPr>
      <w:r>
        <w:rPr>
          <w:rFonts w:ascii="Aptos" w:hAnsi="Aptos" w:cs="Aptos" w:eastAsia="Aptos"/>
          <w:b/>
          <w:i w:val="0"/>
          <w:color w:val="5C7891"/>
          <w:sz w:val="20"/>
        </w:rPr>
        <w:t>8.</w:t>
        <w:tab/>
      </w:r>
      <w:r>
        <w:rPr>
          <w:rFonts w:ascii="Aptos" w:hAnsi="Aptos" w:cs="Aptos" w:eastAsia="Aptos"/>
          <w:b w:val="0"/>
          <w:i w:val="0"/>
          <w:color w:val="2B2B2B"/>
          <w:sz w:val="20"/>
        </w:rPr>
        <w:t xml:space="preserve">No artigo 3.º, «alojamento» é o </w:t>
      </w:r>
      <w:r>
        <w:rPr>
          <w:rFonts w:ascii="Aptos" w:hAnsi="Aptos" w:cs="Aptos" w:eastAsia="Aptos"/>
          <w:b/>
          <w:i w:val="0"/>
          <w:color w:val="2B2B2B"/>
          <w:sz w:val="20"/>
        </w:rPr>
        <w:t>facto de alojar</w:t>
      </w:r>
      <w:r>
        <w:rPr>
          <w:rFonts w:ascii="Aptos" w:hAnsi="Aptos" w:cs="Aptos" w:eastAsia="Aptos"/>
          <w:b w:val="0"/>
          <w:i w:val="0"/>
          <w:color w:val="2B2B2B"/>
          <w:sz w:val="20"/>
        </w:rPr>
        <w:t>, não o estabelecimento: sete das nove ocorrências no diploma têm esse sentido, e a decisiva está na própria norma dos limites — «for autorizado alojamento até ao máximo de seis animais adultos». Daqui resulta que o artigo alcança quem quer que aloje, incluindo o titular de alojamento registado; o que o mantém fora dos números é a unidade de contagem, não a palavra. Capítulo 9.</w:t>
      </w:r>
    </w:p>
    <w:p>
      <w:pPr>
        <w:spacing w:before="0" w:after="100" w:line="293" w:lineRule="auto"/>
        <w:ind w:left="408" w:hanging="408"/>
        <w:jc w:val="both"/>
      </w:pPr>
      <w:r>
        <w:rPr>
          <w:rFonts w:ascii="Aptos" w:hAnsi="Aptos" w:cs="Aptos" w:eastAsia="Aptos"/>
          <w:b/>
          <w:i w:val="0"/>
          <w:color w:val="5C7891"/>
          <w:sz w:val="20"/>
        </w:rPr>
        <w:t>9.</w:t>
        <w:tab/>
      </w:r>
      <w:r>
        <w:rPr>
          <w:rFonts w:ascii="Aptos" w:hAnsi="Aptos" w:cs="Aptos" w:eastAsia="Aptos"/>
          <w:b w:val="0"/>
          <w:i w:val="0"/>
          <w:color w:val="2B2B2B"/>
          <w:sz w:val="20"/>
        </w:rPr>
        <w:t xml:space="preserve">A </w:t>
      </w:r>
      <w:r>
        <w:rPr>
          <w:rFonts w:ascii="Aptos" w:hAnsi="Aptos" w:cs="Aptos" w:eastAsia="Aptos"/>
          <w:b/>
          <w:i w:val="0"/>
          <w:color w:val="2B2B2B"/>
          <w:sz w:val="20"/>
        </w:rPr>
        <w:t>coima</w:t>
      </w:r>
      <w:r>
        <w:rPr>
          <w:rFonts w:ascii="Aptos" w:hAnsi="Aptos" w:cs="Aptos" w:eastAsia="Aptos"/>
          <w:b w:val="0"/>
          <w:i w:val="0"/>
          <w:color w:val="2B2B2B"/>
          <w:sz w:val="20"/>
        </w:rPr>
        <w:t xml:space="preserve"> do artigo 3.º só existe dentro de casa: a al. c) do n.º 3 do artigo 14.º tipifica a permanência de animais «em habitações e terrenos anexos», e o tipo não pode ser alargado. Fora daí resta o remédio administrativo do n.º 5. Capítulo 9.</w:t>
      </w:r>
    </w:p>
    <w:p>
      <w:pPr>
        <w:spacing w:before="0" w:after="100" w:line="293" w:lineRule="auto"/>
        <w:ind w:left="408" w:hanging="408"/>
        <w:jc w:val="both"/>
      </w:pPr>
      <w:r>
        <w:rPr>
          <w:rFonts w:ascii="Aptos" w:hAnsi="Aptos" w:cs="Aptos" w:eastAsia="Aptos"/>
          <w:b/>
          <w:i w:val="0"/>
          <w:color w:val="5C7891"/>
          <w:sz w:val="20"/>
        </w:rPr>
        <w:t>10.</w:t>
        <w:tab/>
      </w:r>
      <w:r>
        <w:rPr>
          <w:rFonts w:ascii="Aptos" w:hAnsi="Aptos" w:cs="Aptos" w:eastAsia="Aptos"/>
          <w:b w:val="0"/>
          <w:i w:val="0"/>
          <w:color w:val="2B2B2B"/>
          <w:sz w:val="20"/>
        </w:rPr>
        <w:t xml:space="preserve">O </w:t>
      </w:r>
      <w:r>
        <w:rPr>
          <w:rFonts w:ascii="Aptos" w:hAnsi="Aptos" w:cs="Aptos" w:eastAsia="Aptos"/>
          <w:b/>
          <w:i w:val="0"/>
          <w:color w:val="2B2B2B"/>
          <w:sz w:val="20"/>
        </w:rPr>
        <w:t>n.º 1</w:t>
      </w:r>
      <w:r>
        <w:rPr>
          <w:rFonts w:ascii="Aptos" w:hAnsi="Aptos" w:cs="Aptos" w:eastAsia="Aptos"/>
          <w:b w:val="0"/>
          <w:i w:val="0"/>
          <w:color w:val="2B2B2B"/>
          <w:sz w:val="20"/>
        </w:rPr>
        <w:t xml:space="preserve"> do artigo 3.º — dever geral de salubridade — </w:t>
      </w:r>
      <w:r>
        <w:rPr>
          <w:rFonts w:ascii="Aptos" w:hAnsi="Aptos" w:cs="Aptos" w:eastAsia="Aptos"/>
          <w:b/>
          <w:i w:val="0"/>
          <w:color w:val="2B2B2B"/>
          <w:sz w:val="20"/>
        </w:rPr>
        <w:t>aplica-se sempre</w:t>
      </w:r>
      <w:r>
        <w:rPr>
          <w:rFonts w:ascii="Aptos" w:hAnsi="Aptos" w:cs="Aptos" w:eastAsia="Aptos"/>
          <w:b w:val="0"/>
          <w:i w:val="0"/>
          <w:color w:val="2B2B2B"/>
          <w:sz w:val="20"/>
        </w:rPr>
        <w:t>, incluindo ao alojamento registado. Registar não isenta; a al. j) do n.º 1 do artigo 3.º-A obriga o interessado a declarar o cumprimento de toda a legislação aplicável em matéria de higiene.</w:t>
      </w:r>
    </w:p>
    <w:p>
      <w:pPr>
        <w:spacing w:before="0" w:after="100" w:line="293" w:lineRule="auto"/>
        <w:ind w:left="408" w:hanging="408"/>
        <w:jc w:val="both"/>
      </w:pPr>
      <w:r>
        <w:rPr>
          <w:rFonts w:ascii="Aptos" w:hAnsi="Aptos" w:cs="Aptos" w:eastAsia="Aptos"/>
          <w:b/>
          <w:i w:val="0"/>
          <w:color w:val="5C7891"/>
          <w:sz w:val="20"/>
        </w:rPr>
        <w:t>11.</w:t>
        <w:tab/>
      </w:r>
      <w:r>
        <w:rPr>
          <w:rFonts w:ascii="Aptos" w:hAnsi="Aptos" w:cs="Aptos" w:eastAsia="Aptos"/>
          <w:b/>
          <w:i w:val="0"/>
          <w:color w:val="2B2B2B"/>
          <w:sz w:val="20"/>
        </w:rPr>
        <w:t>Caso residual.</w:t>
      </w:r>
      <w:r>
        <w:rPr>
          <w:rFonts w:ascii="Aptos" w:hAnsi="Aptos" w:cs="Aptos" w:eastAsia="Aptos"/>
          <w:b w:val="0"/>
          <w:i w:val="0"/>
          <w:color w:val="2B2B2B"/>
          <w:sz w:val="20"/>
        </w:rPr>
        <w:t xml:space="preserve"> Quem tem o alojamento registado mas mantém os animais integrados na casa, como animais do agregado, continua sujeito ao n.º 2. O registo não cria, por si, caminho acima de seis animais dentro do fogo. Capítulo 16.</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decisão judicial, parecer publicado nem orientação administrativa que resolva expressamente a questão. A conclusão é interpretativa e o capítulo 17 declara os seus limites e enumera as questões ainda por responder.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3.  </w:t>
      </w:r>
      <w:r>
        <w:rPr>
          <w:rFonts w:ascii="Aptos" w:hAnsi="Aptos" w:cs="Aptos" w:eastAsia="Aptos"/>
          <w:b/>
          <w:i w:val="0"/>
          <w:color w:val="35506B"/>
          <w:sz w:val="27"/>
        </w:rPr>
        <w:t>Os dois regimes</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Antes do confronto dos textos, importa fixar o que cada diploma regula, a quem se dirige, que autoridade o executa e por que procedimento.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314/2003, artigo 3.º</w:t>
            </w:r>
          </w:p>
        </w:tc>
        <w:tc>
          <w:tcPr>
            <w:tcW w:type="dxa" w:w="385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Decreto-Lei n.º 276/2001</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do diploma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Programa Nacional de Luta e Vigilância Epidemiológica da Raiva Animal e Outras Zoonoses; regras relativas à posse e detenção, comércio, exposições e entrada em território nacional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Medidas complementares da Convenção Europeia para a Proteção dos Animais de Companhia; exercício da atividade de exploração de alojamentos, independentemente do seu fim, e de venda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 regulado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Condições de alojamento de animais num prédio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Exercício da atividade de exploração de alojamentos e de criação comercial</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referência</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fogo</w:t>
            </w:r>
            <w:r>
              <w:rPr>
                <w:rFonts w:ascii="Aptos" w:hAnsi="Aptos" w:cs="Aptos" w:eastAsia="Aptos"/>
                <w:b w:val="0"/>
                <w:i w:val="0"/>
                <w:color w:val="2B2B2B"/>
                <w:sz w:val="17"/>
              </w:rPr>
              <w:t xml:space="preserve">, nos prédios urbanos; o </w:t>
            </w:r>
            <w:r>
              <w:rPr>
                <w:rFonts w:ascii="Aptos" w:hAnsi="Aptos" w:cs="Aptos" w:eastAsia="Aptos"/>
                <w:b/>
                <w:i w:val="0"/>
                <w:color w:val="2B2B2B"/>
                <w:sz w:val="17"/>
              </w:rPr>
              <w:t>terreno</w:t>
            </w:r>
            <w:r>
              <w:rPr>
                <w:rFonts w:ascii="Aptos" w:hAnsi="Aptos" w:cs="Aptos" w:eastAsia="Aptos"/>
                <w:b w:val="0"/>
                <w:i w:val="0"/>
                <w:color w:val="2B2B2B"/>
                <w:sz w:val="17"/>
              </w:rPr>
              <w:t>, nos rústicos e mistos</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w:t>
            </w:r>
            <w:r>
              <w:rPr>
                <w:rFonts w:ascii="Aptos" w:hAnsi="Aptos" w:cs="Aptos" w:eastAsia="Aptos"/>
                <w:b/>
                <w:i w:val="0"/>
                <w:color w:val="2B2B2B"/>
                <w:sz w:val="17"/>
              </w:rPr>
              <w:t>alojamento</w:t>
            </w:r>
            <w:r>
              <w:rPr>
                <w:rFonts w:ascii="Aptos" w:hAnsi="Aptos" w:cs="Aptos" w:eastAsia="Aptos"/>
                <w:b w:val="0"/>
                <w:i w:val="0"/>
                <w:color w:val="2B2B2B"/>
                <w:sz w:val="17"/>
              </w:rPr>
              <w:t>, com capacidade máxima declarada</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Intervenção prévia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Parecer vinculativo do médico veterinário municipal e do delegado de saúde, a pedido do detentor, para exceder quatro animais</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Mera comunicação prévia dirigida à DGAV; permissão administrativa nos casos da al. b) do n.º 1 do artigo 3.º</w:t>
            </w:r>
          </w:p>
        </w:tc>
      </w:tr>
      <w:tr>
        <w:trPr>
          <w:cantSplit/>
        </w:trPr>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Reação ao incumprimento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Notificação camarária para remoção dos animais para o canil ou gatil municipal (n.º 5); contraordenação da al. c) do n.º 3 do artigo 14.º, punível pelo diretor-geral</w:t>
            </w:r>
          </w:p>
        </w:tc>
        <w:tc>
          <w:tcPr>
            <w:tcW w:type="dxa" w:w="385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Regime sancionatório próprio dirigido ao titular da exploração, com suspensão e encerramento; instrução e decisão pela DGAV (artigo 70.º)</w:t>
            </w:r>
          </w:p>
        </w:tc>
      </w:tr>
      <w:tr>
        <w:trPr>
          <w:cantSplit/>
        </w:trPr>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Fixação da lotação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estabelece procedimento de fixação</w:t>
            </w:r>
          </w:p>
        </w:tc>
        <w:tc>
          <w:tcPr>
            <w:tcW w:type="dxa" w:w="385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Declarada na mera comunicação prévia (al. h) do n.º 1 do artigo 3.º-A) e limitada pelas dimensões mínimas do anexo III (n.º 1 do artigo 27.º)</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institucional.</w:t>
            </w:r>
            <w:r>
              <w:rPr>
                <w:rFonts w:ascii="Aptos" w:hAnsi="Aptos" w:cs="Aptos" w:eastAsia="Aptos"/>
                <w:b w:val="0"/>
                <w:i w:val="0"/>
                <w:color w:val="2B2B2B"/>
                <w:sz w:val="19"/>
              </w:rPr>
              <w:t xml:space="preserve"> Os n.ºs 2 a 10 do artigo 3.º do Decreto-Lei n.º 276/2001 foram revogados pelo Decreto-Lei n.º 260/2012, de 12 de dezembro. Com eles desapareceu o antigo regime de licença de funcionamento, que exigia licenças camarárias e parecer do médico veterinário municipal. </w:t>
            </w:r>
            <w:r>
              <w:rPr>
                <w:rFonts w:ascii="Aptos" w:hAnsi="Aptos" w:cs="Aptos" w:eastAsia="Aptos"/>
                <w:b/>
                <w:i w:val="0"/>
                <w:color w:val="2B2B2B"/>
                <w:sz w:val="19"/>
              </w:rPr>
              <w:t>Desde 2012 o município deixou de intervir no título de acesso do alojamento.</w:t>
            </w:r>
            <w:r>
              <w:rPr>
                <w:rFonts w:ascii="Aptos" w:hAnsi="Aptos" w:cs="Aptos" w:eastAsia="Aptos"/>
                <w:b w:val="0"/>
                <w:i w:val="0"/>
                <w:color w:val="2B2B2B"/>
                <w:sz w:val="19"/>
              </w:rPr>
              <w:t xml:space="preserve"> Não existe hoje nenhum momento procedimental em que as duas autoridades se encontrem: a contradição, quando surge, só aflora em inspeção.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4.  </w:t>
      </w:r>
      <w:r>
        <w:rPr>
          <w:rFonts w:ascii="Aptos" w:hAnsi="Aptos" w:cs="Aptos" w:eastAsia="Aptos"/>
          <w:b/>
          <w:i w:val="0"/>
          <w:color w:val="35506B"/>
          <w:sz w:val="27"/>
        </w:rPr>
        <w:t>Os textos em confronto</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4.1  </w:t>
      </w:r>
      <w:r>
        <w:rPr>
          <w:rFonts w:ascii="Aptos" w:hAnsi="Aptos" w:cs="Aptos" w:eastAsia="Aptos"/>
          <w:b/>
          <w:i w:val="0"/>
          <w:color w:val="35506B"/>
          <w:sz w:val="21"/>
        </w:rPr>
        <w:t>Decreto-Lei n.º 314/2003, de 17 de dezembro</w:t>
      </w:r>
    </w:p>
    <w:p>
      <w:pPr>
        <w:spacing w:before="0" w:after="140" w:line="293" w:lineRule="auto"/>
        <w:jc w:val="both"/>
      </w:pPr>
      <w:r>
        <w:rPr>
          <w:rFonts w:ascii="Aptos" w:hAnsi="Aptos" w:cs="Aptos" w:eastAsia="Aptos"/>
          <w:b w:val="0"/>
          <w:i w:val="0"/>
          <w:color w:val="2B2B2B"/>
          <w:sz w:val="20"/>
        </w:rPr>
        <w:t>O artigo 3.º transcreve-se na íntegra, por ser a peça central da questão. O ponto 18 demonstra que nunca foi alterado.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alojamento de cães e gatos em prédios urbanos, rústicos ou mistos, fica sempre condicionado à existência de boas condições do mesmo e ausência de riscos hígio-sanitários relativamente à conspurcação ambiental e doenças transmissíveis ao homem.</w:t>
            </w:r>
          </w:p>
          <w:p>
            <w:pPr>
              <w:spacing w:before="0" w:after="80" w:line="293" w:lineRule="auto"/>
              <w:jc w:val="both"/>
            </w:pPr>
            <w:r>
              <w:rPr>
                <w:rFonts w:ascii="Aptos" w:hAnsi="Aptos" w:cs="Aptos" w:eastAsia="Aptos"/>
                <w:b w:val="0"/>
                <w:i/>
                <w:color w:val="2B2B2B"/>
                <w:sz w:val="19"/>
              </w:rPr>
              <w:t>2 - Nos prédios urbanos podem ser alojados até três cães ou quatro gatos adultos por cada fogo, não podendo no total ser excedido o número de quatro animais, excepto se, a pedido do detentor, e mediante parecer vinculativo do médico veterinário municipal e do delegado de saúde, for autorizado alojamento até ao máximo de seis animais adultos, desde que se verifiquem todos os requisitos hígio-sanitários e de bem-estar animal legalmente exigidos.</w:t>
            </w:r>
          </w:p>
          <w:p>
            <w:pPr>
              <w:spacing w:before="0" w:after="80" w:line="293" w:lineRule="auto"/>
              <w:jc w:val="both"/>
            </w:pPr>
            <w:r>
              <w:rPr>
                <w:rFonts w:ascii="Aptos" w:hAnsi="Aptos" w:cs="Aptos" w:eastAsia="Aptos"/>
                <w:b w:val="0"/>
                <w:i/>
                <w:color w:val="2B2B2B"/>
                <w:sz w:val="19"/>
              </w:rPr>
              <w:t>3 - No caso de fracções autónomas em regime de propriedade horizontal, o regulamento do condomínio pode estabelecer um limite de animais inferior ao previsto no número anterior.</w:t>
            </w:r>
          </w:p>
          <w:p>
            <w:pPr>
              <w:spacing w:before="0" w:after="80" w:line="293" w:lineRule="auto"/>
              <w:jc w:val="both"/>
            </w:pPr>
            <w:r>
              <w:rPr>
                <w:rFonts w:ascii="Aptos" w:hAnsi="Aptos" w:cs="Aptos" w:eastAsia="Aptos"/>
                <w:b w:val="0"/>
                <w:i/>
                <w:color w:val="2B2B2B"/>
                <w:sz w:val="19"/>
              </w:rPr>
              <w:t>4 - Nos prédios rústicos ou mistos podem ser alojados até seis animais adultos, podendo tal número ser excedido se a dimensão do terreno o permitir e desde que as condições de alojamento obedeçam aos requisitos estabelecidos no n.º 1.</w:t>
            </w:r>
          </w:p>
          <w:p>
            <w:pPr>
              <w:spacing w:before="0" w:after="8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0" w:after="0" w:line="293" w:lineRule="auto"/>
              <w:jc w:val="both"/>
            </w:pPr>
            <w:r>
              <w:rPr>
                <w:rFonts w:ascii="Aptos" w:hAnsi="Aptos" w:cs="Aptos" w:eastAsia="Aptos"/>
                <w:b w:val="0"/>
                <w:i/>
                <w:color w:val="2B2B2B"/>
                <w:sz w:val="19"/>
              </w:rPr>
              <w:t>6 - No caso de criação de obstáculos ou impedimentos à remoção de animais que se encontrem em desrespeito ao previsto no presente artigo, o presidente da câmara municipal pode solicitar a emissão de mandado judicial que lhe permita aceder ao local onde estes se encontram e à sua remoção.</w:t>
            </w:r>
          </w:p>
          <w:p>
            <w:pPr>
              <w:spacing w:before="120" w:after="0" w:line="293" w:lineRule="auto"/>
            </w:pPr>
            <w:r>
              <w:rPr>
                <w:rFonts w:ascii="Aptos" w:hAnsi="Aptos" w:cs="Aptos" w:eastAsia="Aptos"/>
                <w:b w:val="0"/>
                <w:i w:val="0"/>
                <w:color w:val="7C8894"/>
                <w:sz w:val="15"/>
              </w:rPr>
              <w:t>Artigo 3.º do Decreto-Lei n.º 314/2003, epígrafe «Detenção de cães e gatos»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Três outras normas do mesmo diploma relevam para a questão.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d) 'Detentor' qualquer pessoa, singular ou colectiva, responsável pelos animais de companhia para efeitos de reprodução, criação, manutenção, acomodação ou utilização, com ou sem fins comerciais;</w:t>
            </w:r>
          </w:p>
          <w:p>
            <w:pPr>
              <w:spacing w:before="120" w:after="0" w:line="293" w:lineRule="auto"/>
            </w:pPr>
            <w:r>
              <w:rPr>
                <w:rFonts w:ascii="Aptos" w:hAnsi="Aptos" w:cs="Aptos" w:eastAsia="Aptos"/>
                <w:b w:val="0"/>
                <w:i w:val="0"/>
                <w:color w:val="7C8894"/>
                <w:sz w:val="15"/>
              </w:rPr>
              <w:t>Al. d) do artigo 2.º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Os cães e gatos que se encontrem em estabelecimentos destinados ao seu comércio devem estar acompanhados do respectivo boletim sanitário de cães e gatos […]</w:t>
            </w:r>
          </w:p>
          <w:p>
            <w:pPr>
              <w:spacing w:before="120" w:after="0" w:line="293" w:lineRule="auto"/>
            </w:pPr>
            <w:r>
              <w:rPr>
                <w:rFonts w:ascii="Aptos" w:hAnsi="Aptos" w:cs="Aptos" w:eastAsia="Aptos"/>
                <w:b w:val="0"/>
                <w:i w:val="0"/>
                <w:color w:val="7C8894"/>
                <w:sz w:val="15"/>
              </w:rPr>
              <w:t>N.º 1 do artigo 5.º do Decreto-Lei n.º 314/2003, epígrafe «Comércio de cães e gatos»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0" w:after="0" w:line="293" w:lineRule="auto"/>
              <w:jc w:val="both"/>
            </w:pPr>
            <w:r>
              <w:rPr>
                <w:rFonts w:ascii="Aptos" w:hAnsi="Aptos" w:cs="Aptos" w:eastAsia="Aptos"/>
                <w:b w:val="0"/>
                <w:i/>
                <w:color w:val="2B2B2B"/>
                <w:sz w:val="19"/>
              </w:rPr>
              <w:t>f) O comércio de cães e gatos em desrespeito das condições previstas no artigo 5.º;</w:t>
            </w:r>
          </w:p>
          <w:p>
            <w:pPr>
              <w:spacing w:before="120" w:after="0" w:line="293" w:lineRule="auto"/>
            </w:pPr>
            <w:r>
              <w:rPr>
                <w:rFonts w:ascii="Aptos" w:hAnsi="Aptos" w:cs="Aptos" w:eastAsia="Aptos"/>
                <w:b w:val="0"/>
                <w:i w:val="0"/>
                <w:color w:val="7C8894"/>
                <w:sz w:val="15"/>
              </w:rPr>
              <w:t>Als. c) e f) do n.º 3 do artigo 14.º do Decreto-Lei n.º 314/2003</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4.2  </w:t>
      </w:r>
      <w:r>
        <w:rPr>
          <w:rFonts w:ascii="Aptos" w:hAnsi="Aptos" w:cs="Aptos" w:eastAsia="Aptos"/>
          <w:b/>
          <w:i w:val="0"/>
          <w:color w:val="35506B"/>
          <w:sz w:val="21"/>
        </w:rPr>
        <w:t>Decreto-Lei n.º 276/2001, de 17 de outubro</w:t>
      </w:r>
    </w:p>
    <w:p>
      <w:pPr>
        <w:spacing w:before="0" w:after="140" w:line="293" w:lineRule="auto"/>
        <w:jc w:val="both"/>
      </w:pPr>
      <w:r>
        <w:rPr>
          <w:rFonts w:ascii="Aptos" w:hAnsi="Aptos" w:cs="Aptos" w:eastAsia="Aptos"/>
          <w:b w:val="0"/>
          <w:i w:val="0"/>
          <w:color w:val="2B2B2B"/>
          <w:sz w:val="20"/>
        </w:rPr>
        <w:t xml:space="preserve">Este diploma </w:t>
      </w:r>
      <w:r>
        <w:rPr>
          <w:rFonts w:ascii="Aptos" w:hAnsi="Aptos" w:cs="Aptos" w:eastAsia="Aptos"/>
          <w:b/>
          <w:i w:val="0"/>
          <w:color w:val="2B2B2B"/>
          <w:sz w:val="20"/>
        </w:rPr>
        <w:t>nunca usa a palavra «fogo»</w:t>
      </w:r>
      <w:r>
        <w:rPr>
          <w:rFonts w:ascii="Aptos" w:hAnsi="Aptos" w:cs="Aptos" w:eastAsia="Aptos"/>
          <w:b w:val="0"/>
          <w:i w:val="0"/>
          <w:color w:val="2B2B2B"/>
          <w:sz w:val="20"/>
        </w:rPr>
        <w:t>. Verificado por pesquisa ao texto integral da versão consolidada. A sua unidade é o alojamento.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presente diploma estabelece as medidas complementares das disposições da Convenção Europeia para a Proteção dos Animais de Companhia […] regulando o exercício da atividade de exploração de alojamentos, independentemente do seu fim, e de venda de animais de companhia, presencialmente ou através de meios eletrónicos.</w:t>
            </w:r>
          </w:p>
          <w:p>
            <w:pPr>
              <w:spacing w:before="120" w:after="0" w:line="293" w:lineRule="auto"/>
            </w:pPr>
            <w:r>
              <w:rPr>
                <w:rFonts w:ascii="Aptos" w:hAnsi="Aptos" w:cs="Aptos" w:eastAsia="Aptos"/>
                <w:b w:val="0"/>
                <w:i w:val="0"/>
                <w:color w:val="7C8894"/>
                <w:sz w:val="15"/>
              </w:rPr>
              <w:t>N.º 1 do artigo 1.º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n) «Alojamento» qualquer instalação, edifício, grupo de edifícios ou outro local, podendo incluir zona não completamente fechada, onde os animais de companhia se encontram mantidos;</w:t>
            </w:r>
          </w:p>
          <w:p>
            <w:pPr>
              <w:spacing w:before="0" w:after="80" w:line="293" w:lineRule="auto"/>
              <w:jc w:val="both"/>
            </w:pPr>
            <w:r>
              <w:rPr>
                <w:rFonts w:ascii="Aptos" w:hAnsi="Aptos" w:cs="Aptos" w:eastAsia="Aptos"/>
                <w:b w:val="0"/>
                <w:i/>
                <w:color w:val="2B2B2B"/>
                <w:sz w:val="19"/>
              </w:rPr>
              <w:t>p) «Hospedagem sem fins lucrativos» o alojamento, permanente ou temporário, de animais de companhia que não vise a obtenção de rendimentos, com exceção das referidas no n.º 3 do artigo 3.º do diploma que aprova o Plano Nacional de Luta e Vigilância da Raiva Animal e outras Zoonoses;</w:t>
            </w:r>
          </w:p>
          <w:p>
            <w:pPr>
              <w:spacing w:before="0" w:after="80" w:line="293" w:lineRule="auto"/>
              <w:jc w:val="both"/>
            </w:pPr>
            <w:r>
              <w:rPr>
                <w:rFonts w:ascii="Aptos" w:hAnsi="Aptos" w:cs="Aptos" w:eastAsia="Aptos"/>
                <w:b w:val="0"/>
                <w:i/>
                <w:color w:val="2B2B2B"/>
                <w:sz w:val="19"/>
              </w:rPr>
              <w:t>q) «Hospedagem com fins lucrativos» o alojamento para reprodução, criação, manutenção e venda de animais de companhia que vise interesses comerciais ou lucrativos, incluindo-se no alojamento para manutenção os hotéis e os centros de treino de cães com alojamento;</w:t>
            </w:r>
          </w:p>
          <w:p>
            <w:pPr>
              <w:spacing w:before="0" w:after="0" w:line="293" w:lineRule="auto"/>
              <w:jc w:val="both"/>
            </w:pPr>
            <w:r>
              <w:rPr>
                <w:rFonts w:ascii="Aptos" w:hAnsi="Aptos" w:cs="Aptos" w:eastAsia="Aptos"/>
                <w:b w:val="0"/>
                <w:i/>
                <w:color w:val="2B2B2B"/>
                <w:sz w:val="19"/>
              </w:rPr>
              <w:t>v) «Detentor» qualquer pessoa, singular ou coletiva, responsável pelos animais de companhia para efeitos de reprodução, criação, manutenção, acomodação ou utilização, com ou sem fins lucrativos;</w:t>
            </w:r>
          </w:p>
          <w:p>
            <w:pPr>
              <w:spacing w:before="120" w:after="0" w:line="293" w:lineRule="auto"/>
            </w:pPr>
            <w:r>
              <w:rPr>
                <w:rFonts w:ascii="Aptos" w:hAnsi="Aptos" w:cs="Aptos" w:eastAsia="Aptos"/>
                <w:b w:val="0"/>
                <w:i w:val="0"/>
                <w:color w:val="7C8894"/>
                <w:sz w:val="15"/>
              </w:rPr>
              <w:t>Als. n), p), q) e v) do n.º 1 do artigo 2.º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Registe-se desde já que a definição de detentor da al. v) é </w:t>
            </w:r>
            <w:r>
              <w:rPr>
                <w:rFonts w:ascii="Aptos" w:hAnsi="Aptos" w:cs="Aptos" w:eastAsia="Aptos"/>
                <w:b/>
                <w:i w:val="0"/>
                <w:color w:val="2B2B2B"/>
                <w:sz w:val="19"/>
              </w:rPr>
              <w:t>praticamente idêntica</w:t>
            </w:r>
            <w:r>
              <w:rPr>
                <w:rFonts w:ascii="Aptos" w:hAnsi="Aptos" w:cs="Aptos" w:eastAsia="Aptos"/>
                <w:b w:val="0"/>
                <w:i w:val="0"/>
                <w:color w:val="2B2B2B"/>
                <w:sz w:val="19"/>
              </w:rPr>
              <w:t xml:space="preserve"> à da al. d) do artigo 2.º do Decreto-Lei n.º 314/2003, mudando apenas «lucrativos» por «comerciais». Os dois diplomas partilham o conceito de detentor. O que os separa não é a pessoa; é o facto regulado.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 mera comunicação prévia a que se refere a alínea a) do n.º 1 do artigo anterior é dirigida à DGAV e deve conter os seguintes elementos, quando aplicáveis: […] h) A capacidade máxima de animais e respetivas espécies a alojar; i) O número de animais detidos, espécies e raças; j) Declaração de responsabilidade, subscrita pelo interessado, relativa ao cumprimento da legislação aplicável aos animais de companhia, nomeadamente em matéria de instalações, equipamentos, higiene, saúde e bem-estar dos animais.</w:t>
            </w:r>
          </w:p>
          <w:p>
            <w:pPr>
              <w:spacing w:before="120" w:after="0" w:line="293" w:lineRule="auto"/>
            </w:pPr>
            <w:r>
              <w:rPr>
                <w:rFonts w:ascii="Aptos" w:hAnsi="Aptos" w:cs="Aptos" w:eastAsia="Aptos"/>
                <w:b w:val="0"/>
                <w:i w:val="0"/>
                <w:color w:val="7C8894"/>
                <w:sz w:val="15"/>
              </w:rPr>
              <w:t>Als. h), i) e j) do n.º 1 do artigo 3.º-A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Os detentores de animais de companhia que se dediquem à sua reprodução, criação, manutenção ou venda devem cumprir as condições previstas no presente capítulo, sem prejuízo das demais disposições aplicáveis, nomeadamente as constantes do Decreto-Lei n.º 315/2009, de 29 de outubro.</w:t>
            </w:r>
          </w:p>
          <w:p>
            <w:pPr>
              <w:spacing w:before="120" w:after="0" w:line="293" w:lineRule="auto"/>
            </w:pPr>
            <w:r>
              <w:rPr>
                <w:rFonts w:ascii="Aptos" w:hAnsi="Aptos" w:cs="Aptos" w:eastAsia="Aptos"/>
                <w:b w:val="0"/>
                <w:i w:val="0"/>
                <w:color w:val="7C8894"/>
                <w:sz w:val="15"/>
              </w:rPr>
              <w:t>Artigo 24.º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Os alojamentos no âmbito deste capítulo devem possuir instalações individualizadas destinadas à armazenagem de alimentos e equipamento limpo e à lavagem e recolha de material.</w:t>
            </w:r>
          </w:p>
          <w:p>
            <w:pPr>
              <w:spacing w:before="0" w:after="80" w:line="293" w:lineRule="auto"/>
              <w:jc w:val="both"/>
            </w:pPr>
            <w:r>
              <w:rPr>
                <w:rFonts w:ascii="Aptos" w:hAnsi="Aptos" w:cs="Aptos" w:eastAsia="Aptos"/>
                <w:b w:val="0"/>
                <w:i/>
                <w:color w:val="2B2B2B"/>
                <w:sz w:val="19"/>
              </w:rPr>
              <w:t>2 - Os alojamentos para a reprodução/criação, para além do disposto no número anterior, devem possuir instalações individualizadas destinadas à maternidade e à criação até à idade adulta, a quarentena, a enfermaria, o manuseamento de alimentos e à higienização dos animais.</w:t>
            </w:r>
          </w:p>
          <w:p>
            <w:pPr>
              <w:spacing w:before="0" w:after="80" w:line="293" w:lineRule="auto"/>
              <w:jc w:val="both"/>
            </w:pPr>
            <w:r>
              <w:rPr>
                <w:rFonts w:ascii="Aptos" w:hAnsi="Aptos" w:cs="Aptos" w:eastAsia="Aptos"/>
                <w:b w:val="0"/>
                <w:i/>
                <w:color w:val="2B2B2B"/>
                <w:sz w:val="19"/>
              </w:rPr>
              <w:t>4 - Os hotéis para animais, para além do disposto no n.º 1, devem possuir instalações individualizadas para enfermaria, manuseamento de alimentos e higienização dos animais.</w:t>
            </w:r>
          </w:p>
          <w:p>
            <w:pPr>
              <w:spacing w:before="0" w:after="0" w:line="293" w:lineRule="auto"/>
              <w:jc w:val="both"/>
            </w:pPr>
            <w:r>
              <w:rPr>
                <w:rFonts w:ascii="Aptos" w:hAnsi="Aptos" w:cs="Aptos" w:eastAsia="Aptos"/>
                <w:b w:val="0"/>
                <w:i/>
                <w:color w:val="2B2B2B"/>
                <w:sz w:val="19"/>
              </w:rPr>
              <w:t>5 - […] os alojamentos destinados a cães e gatos devem também possuir área de recreio, coberta ou descoberta.</w:t>
            </w:r>
          </w:p>
          <w:p>
            <w:pPr>
              <w:spacing w:before="120" w:after="0" w:line="293" w:lineRule="auto"/>
            </w:pPr>
            <w:r>
              <w:rPr>
                <w:rFonts w:ascii="Aptos" w:hAnsi="Aptos" w:cs="Aptos" w:eastAsia="Aptos"/>
                <w:b w:val="0"/>
                <w:i w:val="0"/>
                <w:color w:val="7C8894"/>
                <w:sz w:val="15"/>
              </w:rPr>
              <w:t>N.ºs 1, 2, 4 e 5 do artigo 25.º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O alojamento de cães e gatos deve obedecer às dimensões mínimas indicadas no anexo iii do presente diploma, do qual faz parte integrante.</w:t>
            </w:r>
          </w:p>
          <w:p>
            <w:pPr>
              <w:spacing w:before="120" w:after="0" w:line="293" w:lineRule="auto"/>
            </w:pPr>
            <w:r>
              <w:rPr>
                <w:rFonts w:ascii="Aptos" w:hAnsi="Aptos" w:cs="Aptos" w:eastAsia="Aptos"/>
                <w:b w:val="0"/>
                <w:i w:val="0"/>
                <w:color w:val="7C8894"/>
                <w:sz w:val="15"/>
              </w:rPr>
              <w:t>N.º 1 do artigo 27.º do Decreto-Lei n.º 276/2001</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Caso o titular da exploração do alojamento se recuse a facultar o acesso ao alojamento, pode ser solicitado mandado judicial para permitir às autoridades competentes o acesso aos locais onde os animais se encontrem, nomeadamente casas de habitação e terrenos privados.</w:t>
            </w:r>
          </w:p>
          <w:p>
            <w:pPr>
              <w:spacing w:before="120" w:after="0" w:line="293" w:lineRule="auto"/>
            </w:pPr>
            <w:r>
              <w:rPr>
                <w:rFonts w:ascii="Aptos" w:hAnsi="Aptos" w:cs="Aptos" w:eastAsia="Aptos"/>
                <w:b w:val="0"/>
                <w:i w:val="0"/>
                <w:color w:val="7C8894"/>
                <w:sz w:val="15"/>
              </w:rPr>
              <w:t>N.º 2 do artigo 67.º-A do Decreto-Lei n.º 276/2001</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4.3  </w:t>
      </w:r>
      <w:r>
        <w:rPr>
          <w:rFonts w:ascii="Aptos" w:hAnsi="Aptos" w:cs="Aptos" w:eastAsia="Aptos"/>
          <w:b/>
          <w:i w:val="0"/>
          <w:color w:val="35506B"/>
          <w:sz w:val="21"/>
        </w:rPr>
        <w:t>Lei n.º 92/95, de 12 de setembro, e Decreto-Lei n.º 10/2015, de 16 de janeiro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do disposto no capítulo III quanto aos animais de companhia, qualquer pessoa física ou colectiva que explore o comércio de animais, que guarde animais mediante uma remuneração, que os crie para fins comerciais, que os alugue, que se sirva de animais para fins de transporte, que os exponha ou que os exiba com um fim comercial só poderá fazê-lo mediante autorização municipal, a qual só poderá ser concedida desde que os serviços municipais verifiquem que as condições previstas na lei destinadas a assegurar o bem-estar e a sanidade dos animais serão cumpridas.</w:t>
            </w:r>
          </w:p>
          <w:p>
            <w:pPr>
              <w:spacing w:before="120" w:after="0" w:line="293" w:lineRule="auto"/>
            </w:pPr>
            <w:r>
              <w:rPr>
                <w:rFonts w:ascii="Aptos" w:hAnsi="Aptos" w:cs="Aptos" w:eastAsia="Aptos"/>
                <w:b w:val="0"/>
                <w:i w:val="0"/>
                <w:color w:val="7C8894"/>
                <w:sz w:val="15"/>
              </w:rPr>
              <w:t>Artigo 2.º da Lei n.º 92/95, sob a epígrafe «Licença municipal»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artigo 4.º do Decreto-Lei n.º 10/2015 enumera as atividades sujeitas a mera comunicação prévia. Entre elas, na al. c) do seu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exploração de estabelecimentos de comércio a retalho de animais de companhia e respetivos alimentos, em estabelecimentos especializados;</w:t>
            </w:r>
          </w:p>
          <w:p>
            <w:pPr>
              <w:spacing w:before="120" w:after="0" w:line="293" w:lineRule="auto"/>
            </w:pPr>
            <w:r>
              <w:rPr>
                <w:rFonts w:ascii="Aptos" w:hAnsi="Aptos" w:cs="Aptos" w:eastAsia="Aptos"/>
                <w:b w:val="0"/>
                <w:i w:val="0"/>
                <w:color w:val="7C8894"/>
                <w:sz w:val="15"/>
              </w:rPr>
              <w:t>Al. c) do n.º 1 do artigo 4.º do Decreto-Lei n.º 10/2015</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1 - As meras comunicações prévias referidas nas alíneas a) a c) e g) a m) do artigo 4.º, são apresentadas ao município territorialmente competente através do «Balcão do empreendedor», nos termos do artigo 20.º, devendo, para efeitos de reporte estatístico, ser remetidas de imediato para a Direção-Geral das Atividades Económicas (DGAE).</w:t>
            </w:r>
          </w:p>
          <w:p>
            <w:pPr>
              <w:spacing w:before="120" w:after="0" w:line="293" w:lineRule="auto"/>
            </w:pPr>
            <w:r>
              <w:rPr>
                <w:rFonts w:ascii="Aptos" w:hAnsi="Aptos" w:cs="Aptos" w:eastAsia="Aptos"/>
                <w:b w:val="0"/>
                <w:i w:val="0"/>
                <w:color w:val="7C8894"/>
                <w:sz w:val="15"/>
              </w:rPr>
              <w:t>N.º 1 do artigo 7.º do Decreto-Lei n.º 10/2015</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5.  </w:t>
      </w:r>
      <w:r>
        <w:rPr>
          <w:rFonts w:ascii="Aptos" w:hAnsi="Aptos" w:cs="Aptos" w:eastAsia="Aptos"/>
          <w:b/>
          <w:i w:val="0"/>
          <w:color w:val="35506B"/>
          <w:sz w:val="27"/>
        </w:rPr>
        <w:t>O conceito de «fogo»</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«Fogo» é a </w:t>
            </w:r>
            <w:r>
              <w:rPr>
                <w:rFonts w:ascii="Aptos" w:hAnsi="Aptos" w:cs="Aptos" w:eastAsia="Aptos"/>
                <w:b/>
                <w:i w:val="0"/>
                <w:color w:val="2B2B2B"/>
                <w:sz w:val="20"/>
              </w:rPr>
              <w:t>unidade de utilização destinada a habitação</w:t>
            </w:r>
            <w:r>
              <w:rPr>
                <w:rFonts w:ascii="Aptos" w:hAnsi="Aptos" w:cs="Aptos" w:eastAsia="Aptos"/>
                <w:b w:val="0"/>
                <w:i w:val="0"/>
                <w:color w:val="2B2B2B"/>
                <w:sz w:val="20"/>
              </w:rPr>
              <w:t>. Não é o agregado doméstico nem a fração autónoma. E o apoio mais seguro desta noção já não é o Regulamento Geral das Edificações Urbanas, de 1951, mas o Regime Jurídico da Urbanização e Edificação, na redação em vigor.</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5.1  </w:t>
      </w:r>
      <w:r>
        <w:rPr>
          <w:rFonts w:ascii="Aptos" w:hAnsi="Aptos" w:cs="Aptos" w:eastAsia="Aptos"/>
          <w:b/>
          <w:i w:val="0"/>
          <w:color w:val="35506B"/>
          <w:sz w:val="21"/>
        </w:rPr>
        <w:t>O que o diploma não diz</w:t>
      </w:r>
    </w:p>
    <w:p>
      <w:pPr>
        <w:spacing w:before="0" w:after="140" w:line="293" w:lineRule="auto"/>
        <w:jc w:val="both"/>
      </w:pPr>
      <w:r>
        <w:rPr>
          <w:rFonts w:ascii="Aptos" w:hAnsi="Aptos" w:cs="Aptos" w:eastAsia="Aptos"/>
          <w:b w:val="0"/>
          <w:i w:val="0"/>
          <w:color w:val="2B2B2B"/>
          <w:sz w:val="20"/>
        </w:rPr>
        <w:t xml:space="preserve">O Decreto-Lei n.º 314/2003 não define «fogo». Mais: a palavra aparece </w:t>
      </w:r>
      <w:r>
        <w:rPr>
          <w:rFonts w:ascii="Aptos" w:hAnsi="Aptos" w:cs="Aptos" w:eastAsia="Aptos"/>
          <w:b/>
          <w:i w:val="0"/>
          <w:color w:val="2B2B2B"/>
          <w:sz w:val="20"/>
        </w:rPr>
        <w:t>uma única vez em todo o diploma</w:t>
      </w:r>
      <w:r>
        <w:rPr>
          <w:rFonts w:ascii="Aptos" w:hAnsi="Aptos" w:cs="Aptos" w:eastAsia="Aptos"/>
          <w:b w:val="0"/>
          <w:i w:val="0"/>
          <w:color w:val="2B2B2B"/>
          <w:sz w:val="20"/>
        </w:rPr>
        <w:t>, no n.º 2 do artigo 3.º. Não há remissão para outro regime, nem norma interpretativa. O conceito tem de ser colhido fora.</w:t>
      </w:r>
    </w:p>
    <w:p>
      <w:pPr>
        <w:keepNext/>
        <w:spacing w:before="260" w:after="80" w:line="293" w:lineRule="auto"/>
      </w:pPr>
      <w:r>
        <w:rPr>
          <w:rFonts w:ascii="Aptos" w:hAnsi="Aptos" w:cs="Aptos" w:eastAsia="Aptos"/>
          <w:b/>
          <w:i w:val="0"/>
          <w:color w:val="7C8894"/>
          <w:sz w:val="21"/>
        </w:rPr>
        <w:t xml:space="preserve">5.2  </w:t>
      </w:r>
      <w:r>
        <w:rPr>
          <w:rFonts w:ascii="Aptos" w:hAnsi="Aptos" w:cs="Aptos" w:eastAsia="Aptos"/>
          <w:b/>
          <w:i w:val="0"/>
          <w:color w:val="35506B"/>
          <w:sz w:val="21"/>
        </w:rPr>
        <w:t>A âncora histórica: o Regulamento Geral das Edificações Urbanas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O tipo de fogo é definido pelo número de quartos de dormir, e para a sua identificação utiliza-se o símbolo Tx, em que x representa o número de quartos de dormir.</w:t>
            </w:r>
          </w:p>
          <w:p>
            <w:pPr>
              <w:spacing w:before="120" w:after="0" w:line="293" w:lineRule="auto"/>
            </w:pPr>
            <w:r>
              <w:rPr>
                <w:rFonts w:ascii="Aptos" w:hAnsi="Aptos" w:cs="Aptos" w:eastAsia="Aptos"/>
                <w:b w:val="0"/>
                <w:i w:val="0"/>
                <w:color w:val="7C8894"/>
                <w:sz w:val="15"/>
              </w:rPr>
              <w:t>N.º 5 do artigo 66.º do RGEU, na redação do Decreto-Lei n.º 650/75, de 18 de novembro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a) Área bruta (Ab) é a superfície total do fogo, medida pelo perímetro exterior das paredes exteriores e eixos das paredes separadoras dos fogos, e inclui varandas privativas, locais acessórios e a quota-parte que lhe corresponda nas circulações comuns do edifício;</w:t>
            </w:r>
          </w:p>
          <w:p>
            <w:pPr>
              <w:spacing w:before="0" w:after="0" w:line="293" w:lineRule="auto"/>
              <w:jc w:val="both"/>
            </w:pPr>
            <w:r>
              <w:rPr>
                <w:rFonts w:ascii="Aptos" w:hAnsi="Aptos" w:cs="Aptos" w:eastAsia="Aptos"/>
                <w:b w:val="0"/>
                <w:i/>
                <w:color w:val="2B2B2B"/>
                <w:sz w:val="19"/>
              </w:rPr>
              <w:t>b) Área útil (Au) é a soma das áreas de todos os compartimentos da habitação, incluindo […]</w:t>
            </w:r>
          </w:p>
          <w:p>
            <w:pPr>
              <w:spacing w:before="120" w:after="0" w:line="293" w:lineRule="auto"/>
            </w:pPr>
            <w:r>
              <w:rPr>
                <w:rFonts w:ascii="Aptos" w:hAnsi="Aptos" w:cs="Aptos" w:eastAsia="Aptos"/>
                <w:b w:val="0"/>
                <w:i w:val="0"/>
                <w:color w:val="7C8894"/>
                <w:sz w:val="15"/>
              </w:rPr>
              <w:t>Als. a) e b) do n.º 2 do artigo 67.º do RGEU</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sinonímia entre «fogo» e «habitação» não é afirmada: é demonstrada pelo próprio texto. A al. a) mede «o fogo»; a al. b), imediatamente a seguir e para o mesmo objeto, mede «a habitação». São a mesma coisa.</w:t>
      </w:r>
    </w:p>
    <w:p>
      <w:pPr>
        <w:keepNext/>
        <w:spacing w:before="260" w:after="80" w:line="293" w:lineRule="auto"/>
      </w:pPr>
      <w:r>
        <w:rPr>
          <w:rFonts w:ascii="Aptos" w:hAnsi="Aptos" w:cs="Aptos" w:eastAsia="Aptos"/>
          <w:b/>
          <w:i w:val="0"/>
          <w:color w:val="7C8894"/>
          <w:sz w:val="21"/>
        </w:rPr>
        <w:t xml:space="preserve">5.3  </w:t>
      </w:r>
      <w:r>
        <w:rPr>
          <w:rFonts w:ascii="Aptos" w:hAnsi="Aptos" w:cs="Aptos" w:eastAsia="Aptos"/>
          <w:b/>
          <w:i w:val="0"/>
          <w:color w:val="35506B"/>
          <w:sz w:val="21"/>
        </w:rPr>
        <w:t>A âncora vigente: o Regime Jurídico da Urbanização e Edificação</w:t>
      </w:r>
    </w:p>
    <w:p>
      <w:pPr>
        <w:spacing w:before="0" w:after="140" w:line="293" w:lineRule="auto"/>
        <w:jc w:val="both"/>
      </w:pPr>
      <w:r>
        <w:rPr>
          <w:rFonts w:ascii="Aptos" w:hAnsi="Aptos" w:cs="Aptos" w:eastAsia="Aptos"/>
          <w:b w:val="0"/>
          <w:i w:val="0"/>
          <w:color w:val="2B2B2B"/>
          <w:sz w:val="20"/>
        </w:rPr>
        <w:t>O Regime Jurídico da Urbanização e Edificação, aprovado pelo Decreto-Lei n.º 555/99, de 16 de dezembro, na redação dada pelo Decreto-Lei n.º 108/2026, de 29 de maio, usa a palavra com sentido firme e atual. Dois lugares bastam.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a) Na parcela destacada só seja construído edifício que se destine exclusivamente a fins habitacionais e que não tenha mais de dois fogos;</w:t>
            </w:r>
          </w:p>
          <w:p>
            <w:pPr>
              <w:spacing w:before="120" w:after="0" w:line="293" w:lineRule="auto"/>
            </w:pPr>
            <w:r>
              <w:rPr>
                <w:rFonts w:ascii="Aptos" w:hAnsi="Aptos" w:cs="Aptos" w:eastAsia="Aptos"/>
                <w:b w:val="0"/>
                <w:i w:val="0"/>
                <w:color w:val="7C8894"/>
                <w:sz w:val="15"/>
              </w:rPr>
              <w:t>Al. a) do n.º 5 do artigo 6.º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Programa de utilização das edificações, incluindo a área total de construção a afetar aos diversos usos e o número de fogos e outras unidades de utilização, com identificação das áreas acessórias, técnicas e de serviço;</w:t>
            </w:r>
          </w:p>
          <w:p>
            <w:pPr>
              <w:spacing w:before="120" w:after="0" w:line="293" w:lineRule="auto"/>
            </w:pPr>
            <w:r>
              <w:rPr>
                <w:rFonts w:ascii="Aptos" w:hAnsi="Aptos" w:cs="Aptos" w:eastAsia="Aptos"/>
                <w:b w:val="0"/>
                <w:i w:val="0"/>
                <w:color w:val="7C8894"/>
                <w:sz w:val="15"/>
              </w:rPr>
              <w:t>Al. c) do n.º 2 do artigo 14.º do RJUE</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expressão «o número de fogos </w:t>
            </w:r>
            <w:r>
              <w:rPr>
                <w:rFonts w:ascii="Aptos" w:hAnsi="Aptos" w:cs="Aptos" w:eastAsia="Aptos"/>
                <w:b/>
                <w:i w:val="0"/>
                <w:color w:val="2B2B2B"/>
                <w:sz w:val="20"/>
              </w:rPr>
              <w:t>e outras unidades de utilização</w:t>
            </w:r>
            <w:r>
              <w:rPr>
                <w:rFonts w:ascii="Aptos" w:hAnsi="Aptos" w:cs="Aptos" w:eastAsia="Aptos"/>
                <w:b w:val="0"/>
                <w:i w:val="0"/>
                <w:color w:val="2B2B2B"/>
                <w:sz w:val="20"/>
              </w:rPr>
              <w:t xml:space="preserve">» é decisiva. O fogo é a espécie habitacional do género «unidade de utilização». Uma unidade cuja utilização não seja a habitação </w:t>
            </w:r>
            <w:r>
              <w:rPr>
                <w:rFonts w:ascii="Aptos" w:hAnsi="Aptos" w:cs="Aptos" w:eastAsia="Aptos"/>
                <w:b/>
                <w:i w:val="0"/>
                <w:color w:val="2B2B2B"/>
                <w:sz w:val="20"/>
              </w:rPr>
              <w:t>não é um fogo</w:t>
            </w:r>
            <w:r>
              <w:rPr>
                <w:rFonts w:ascii="Aptos" w:hAnsi="Aptos" w:cs="Aptos" w:eastAsia="Aptos"/>
                <w:b w:val="0"/>
                <w:i w:val="0"/>
                <w:color w:val="2B2B2B"/>
                <w:sz w:val="20"/>
              </w:rPr>
              <w:t xml:space="preserve"> — é uma das «outras unidades de utilização».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5.4  </w:t>
      </w:r>
      <w:r>
        <w:rPr>
          <w:rFonts w:ascii="Aptos" w:hAnsi="Aptos" w:cs="Aptos" w:eastAsia="Aptos"/>
          <w:b/>
          <w:i w:val="0"/>
          <w:color w:val="35506B"/>
          <w:sz w:val="21"/>
        </w:rPr>
        <w:t>O RGEU está em vigor, mas por um fio</w:t>
      </w:r>
    </w:p>
    <w:p>
      <w:pPr>
        <w:spacing w:before="0" w:after="140" w:line="293" w:lineRule="auto"/>
        <w:jc w:val="both"/>
      </w:pPr>
      <w:r>
        <w:rPr>
          <w:rFonts w:ascii="Aptos" w:hAnsi="Aptos" w:cs="Aptos" w:eastAsia="Aptos"/>
          <w:b w:val="0"/>
          <w:i w:val="0"/>
          <w:color w:val="2B2B2B"/>
          <w:sz w:val="20"/>
        </w:rPr>
        <w:t>O artigo 25.º do Decreto-Lei n.º 10/2024, de 8 de janeiro, na sua redação originária, dispunha que «o RGEU é revogado com efeitos reportados a 1 de junho de 2026». Na véspera dessa data o Governo travou a revogação.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O RGEU é revogado com efeitos reportados à data de entrada em vigor do diploma que definir as normas técnicas aplicáveis à edificação.</w:t>
            </w:r>
          </w:p>
          <w:p>
            <w:pPr>
              <w:spacing w:before="0" w:after="0" w:line="293" w:lineRule="auto"/>
              <w:jc w:val="both"/>
            </w:pPr>
            <w:r>
              <w:rPr>
                <w:rFonts w:ascii="Aptos" w:hAnsi="Aptos" w:cs="Aptos" w:eastAsia="Aptos"/>
                <w:b w:val="0"/>
                <w:i/>
                <w:color w:val="2B2B2B"/>
                <w:sz w:val="19"/>
              </w:rPr>
              <w:t>2 — A regulamentação prevista no número anterior deve contar com a colaboração das ordens profissionais competentes na definição das regras de ordem técnica que considerem adequadas para a preparação dos projetos relativos às edificações urbanas.</w:t>
            </w:r>
          </w:p>
          <w:p>
            <w:pPr>
              <w:spacing w:before="120" w:after="0" w:line="293" w:lineRule="auto"/>
            </w:pPr>
            <w:r>
              <w:rPr>
                <w:rFonts w:ascii="Aptos" w:hAnsi="Aptos" w:cs="Aptos" w:eastAsia="Aptos"/>
                <w:b w:val="0"/>
                <w:i w:val="0"/>
                <w:color w:val="7C8894"/>
                <w:sz w:val="15"/>
              </w:rPr>
              <w:t>Artigo 25.º do Decreto-Lei n.º 10/2024, na redação do Decreto-Lei n.º 108/2026, de 29 de maio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Cronologia.</w:t>
            </w:r>
            <w:r>
              <w:rPr>
                <w:rFonts w:ascii="Aptos" w:hAnsi="Aptos" w:cs="Aptos" w:eastAsia="Aptos"/>
                <w:b w:val="0"/>
                <w:i w:val="0"/>
                <w:color w:val="2B2B2B"/>
                <w:sz w:val="19"/>
              </w:rPr>
              <w:t xml:space="preserve"> O Decreto-Lei n.º 108/2026 foi publicado em 29 de maio de 2026, sexta-feira, e o seu artigo final determina que «as alterações ao Decreto-Lei n.º 10/2024, de 8 de janeiro, entram em vigor no primeiro dia útil seguinte ao da publicação do presente decreto-lei» — isto é, 1 de junho de 2026, o próprio dia em que a revogação produziria efeitos. </w:t>
            </w:r>
            <w:r>
              <w:rPr>
                <w:rFonts w:ascii="Aptos" w:hAnsi="Aptos" w:cs="Aptos" w:eastAsia="Aptos"/>
                <w:b/>
                <w:i w:val="0"/>
                <w:color w:val="2B2B2B"/>
                <w:sz w:val="19"/>
              </w:rPr>
              <w:t>O RGEU está, pois, em vigor</w:t>
            </w:r>
            <w:r>
              <w:rPr>
                <w:rFonts w:ascii="Aptos" w:hAnsi="Aptos" w:cs="Aptos" w:eastAsia="Aptos"/>
                <w:b w:val="0"/>
                <w:i w:val="0"/>
                <w:color w:val="2B2B2B"/>
                <w:sz w:val="19"/>
              </w:rPr>
              <w:t>, e a sua revogação passou a depender de um diploma futuro, ainda não publicado.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Consequência metodológica: uma análise que assente exclusivamente no RGEU fica refém de um diploma que pode sair a qualquer momento. Por isso o peso da demonstração desloca-se para o RJUE, que está em vigor e foi revisto há meses.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5.5  </w:t>
      </w:r>
      <w:r>
        <w:rPr>
          <w:rFonts w:ascii="Aptos" w:hAnsi="Aptos" w:cs="Aptos" w:eastAsia="Aptos"/>
          <w:b/>
          <w:i w:val="0"/>
          <w:color w:val="35506B"/>
          <w:sz w:val="21"/>
        </w:rPr>
        <w:t>As três leituras, e qual se sustenta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04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Apreciação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Unidade de utilização habitacional</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Critério físico-edificado, colhido no RGEU e no RJUE: o fogo é a unidade de utilização destinada a habitação.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Procede.</w:t>
            </w:r>
            <w:r>
              <w:rPr>
                <w:rFonts w:ascii="Aptos" w:hAnsi="Aptos" w:cs="Aptos" w:eastAsia="Aptos"/>
                <w:b w:val="0"/>
                <w:i w:val="0"/>
                <w:color w:val="2B2B2B"/>
                <w:sz w:val="17"/>
              </w:rPr>
              <w:t xml:space="preserve"> É a única com apoio em direito positivo vigente</w:t>
            </w:r>
          </w:p>
        </w:tc>
      </w:tr>
      <w:tr>
        <w:trPr>
          <w:cantSplit/>
        </w:trPr>
        <w:tc>
          <w:tcPr>
            <w:tcW w:type="dxa" w:w="204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Fração autónoma</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n.º 3 do artigo 3.º pressupõe que cada fração tem limite próprio, ao permitir que o regulamento do condomínio o reduza.</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como definição: uma fração autónoma pode ser uma loja, uma garagem ou um escritório. Toda a fração habitacional é um fogo; nem todo o fogo é uma fração</w:t>
            </w:r>
          </w:p>
        </w:tc>
      </w:tr>
      <w:tr>
        <w:trPr>
          <w:cantSplit/>
        </w:trPr>
        <w:tc>
          <w:tcPr>
            <w:tcW w:type="dxa" w:w="204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Agregado doméstico</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Economia comum, independentemente do edificado.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Improcede: nenhum texto legal o sustenta, e havendo critério objetivo edificado não há razão para preferir um critério pessoal</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5.6  </w:t>
      </w:r>
      <w:r>
        <w:rPr>
          <w:rFonts w:ascii="Aptos" w:hAnsi="Aptos" w:cs="Aptos" w:eastAsia="Aptos"/>
          <w:b/>
          <w:i w:val="0"/>
          <w:color w:val="35506B"/>
          <w:sz w:val="21"/>
        </w:rPr>
        <w:t>Quatro consequências operativas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unidade de contagem do n.º 2 é doméstica, não predial.</w:t>
      </w:r>
      <w:r>
        <w:rPr>
          <w:rFonts w:ascii="Aptos" w:hAnsi="Aptos" w:cs="Aptos" w:eastAsia="Aptos"/>
          <w:b w:val="0"/>
          <w:i w:val="0"/>
          <w:color w:val="2B2B2B"/>
          <w:sz w:val="20"/>
        </w:rPr>
        <w:t xml:space="preserve"> Um prédio urbano com dez fogos comporta dez vezes a dotação. O limite não é do prédio; é de cada fogo.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Um prédio urbano sem fogo não tem unidade a que aplicar o n.º 2.</w:t>
      </w:r>
      <w:r>
        <w:rPr>
          <w:rFonts w:ascii="Aptos" w:hAnsi="Aptos" w:cs="Aptos" w:eastAsia="Aptos"/>
          <w:b w:val="0"/>
          <w:i w:val="0"/>
          <w:color w:val="2B2B2B"/>
          <w:sz w:val="20"/>
        </w:rPr>
        <w:t xml:space="preserve"> A norma não tem, aí, campo operativo — não porque se afaste, mas porque lhe falta o termo de referência.</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É o título de utilização que decide.</w:t>
      </w:r>
      <w:r>
        <w:rPr>
          <w:rFonts w:ascii="Aptos" w:hAnsi="Aptos" w:cs="Aptos" w:eastAsia="Aptos"/>
          <w:b w:val="0"/>
          <w:i w:val="0"/>
          <w:color w:val="2B2B2B"/>
          <w:sz w:val="20"/>
        </w:rPr>
        <w:t xml:space="preserve"> A autorização de utilização diz a que se destina cada unidade. Uma unidade licenciada para outro uso que não a habitação é, na linguagem do RJUE, uma «outra unidade de utilização», e não um fogo.</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i w:val="0"/>
          <w:color w:val="2B2B2B"/>
          <w:sz w:val="20"/>
        </w:rPr>
        <w:t>O Decreto-Lei n.º 276/2001 nunca usa a palavra.</w:t>
      </w:r>
      <w:r>
        <w:rPr>
          <w:rFonts w:ascii="Aptos" w:hAnsi="Aptos" w:cs="Aptos" w:eastAsia="Aptos"/>
          <w:b w:val="0"/>
          <w:i w:val="0"/>
          <w:color w:val="2B2B2B"/>
          <w:sz w:val="20"/>
        </w:rPr>
        <w:t xml:space="preserve"> A sua unidade é o alojamento, cuja capacidade é declarada pelo interessado e aferida por superfície.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Nota de pesquisa.</w:t>
            </w:r>
            <w:r>
              <w:rPr>
                <w:rFonts w:ascii="Aptos" w:hAnsi="Aptos" w:cs="Aptos" w:eastAsia="Aptos"/>
                <w:b w:val="0"/>
                <w:i w:val="0"/>
                <w:color w:val="2B2B2B"/>
                <w:sz w:val="19"/>
              </w:rPr>
              <w:t xml:space="preserve"> Não se localizou qualquer iniciativa legislativa parlamentar que tenha incidido sobre o artigo 3.º do Decreto-Lei n.º 314/2003. As iniciativas que alteram esse diploma — designadamente as do PAN sobre animais comunitários e esterilização — versam sobre os artigos 8.º e 11.º, relativos a animais errantes. Em mais de vinte anos, o artigo 3.º nunca foi objeto de debate parlamentar, o que ajuda a explicar a ausência de doutrina e de jurisprudência.</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6.  </w:t>
      </w:r>
      <w:r>
        <w:rPr>
          <w:rFonts w:ascii="Aptos" w:hAnsi="Aptos" w:cs="Aptos" w:eastAsia="Aptos"/>
          <w:b/>
          <w:i w:val="0"/>
          <w:color w:val="35506B"/>
          <w:sz w:val="27"/>
        </w:rPr>
        <w:t>Elementos que sustentam a aplicação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Expõem-se primeiro, e sem atenuação, os argumentos que militam no sentido de os limites do artigo 3.º condicionarem a lotação do estabelecimento. Uma conclusão que só resista quando se omite o que a contraria não serve para fundamentar posição institucional.</w:t>
      </w:r>
    </w:p>
    <w:p>
      <w:pPr>
        <w:keepNext/>
        <w:spacing w:before="200" w:after="60" w:line="293" w:lineRule="auto"/>
      </w:pPr>
      <w:r>
        <w:rPr>
          <w:rFonts w:ascii="Aptos" w:hAnsi="Aptos" w:cs="Aptos" w:eastAsia="Aptos"/>
          <w:b/>
          <w:i w:val="0"/>
          <w:color w:val="5C7891"/>
          <w:sz w:val="19"/>
        </w:rPr>
        <w:t>6.1  O artigo 3.º emprega a palavra «alojamento»</w:t>
      </w:r>
    </w:p>
    <w:p>
      <w:pPr>
        <w:spacing w:before="0" w:after="140" w:line="293" w:lineRule="auto"/>
        <w:jc w:val="both"/>
      </w:pPr>
      <w:r>
        <w:rPr>
          <w:rFonts w:ascii="Aptos" w:hAnsi="Aptos" w:cs="Aptos" w:eastAsia="Aptos"/>
          <w:b w:val="0"/>
          <w:i w:val="0"/>
          <w:color w:val="2B2B2B"/>
          <w:sz w:val="20"/>
        </w:rPr>
        <w:t>O n.º 1 não fala de «detenção» no seu corpo dispositivo: fala de alojamento. E os n.ºs 2 e 4 dizem «podem ser alojados». É o mesmo vocábulo que define o objeto do Decreto-Lei n.º 276/2001, cuja al. n) do n.º 1 do artigo 2.º o define de forma amplíssima — «qualquer instalação, edifício, grupo de edifícios ou outro local». Qualquer argumento que assente numa alegada divergência de vocabulário tem de ser construído sobre esta base, e não contra ela.</w:t>
      </w:r>
    </w:p>
    <w:p>
      <w:pPr>
        <w:keepNext/>
        <w:spacing w:before="200" w:after="60" w:line="293" w:lineRule="auto"/>
      </w:pPr>
      <w:r>
        <w:rPr>
          <w:rFonts w:ascii="Aptos" w:hAnsi="Aptos" w:cs="Aptos" w:eastAsia="Aptos"/>
          <w:b/>
          <w:i w:val="0"/>
          <w:color w:val="5C7891"/>
          <w:sz w:val="19"/>
        </w:rPr>
        <w:t>6.2  O detentor do diploma sanitário abrange quem cria com fins comerciais</w:t>
      </w:r>
    </w:p>
    <w:p>
      <w:pPr>
        <w:spacing w:before="0" w:after="140" w:line="293" w:lineRule="auto"/>
        <w:jc w:val="both"/>
      </w:pPr>
      <w:r>
        <w:rPr>
          <w:rFonts w:ascii="Aptos" w:hAnsi="Aptos" w:cs="Aptos" w:eastAsia="Aptos"/>
          <w:b w:val="0"/>
          <w:i w:val="0"/>
          <w:color w:val="2B2B2B"/>
          <w:sz w:val="20"/>
        </w:rPr>
        <w:t>É o elemento mais forte contra a conclusão, e não pode ser contornado. A al. d) do artigo 2.º do Decreto-Lei n.º 314/2003 define detentor por referência expressa à reprodução e à criação, com ou sem fins comerciais.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É incorreto sustentar que o Decreto-Lei n.º 314/2003 não se aplica a quem cria.</w:t>
            </w:r>
            <w:r>
              <w:rPr>
                <w:rFonts w:ascii="Aptos" w:hAnsi="Aptos" w:cs="Aptos" w:eastAsia="Aptos"/>
                <w:b w:val="0"/>
                <w:i w:val="0"/>
                <w:color w:val="2B2B2B"/>
                <w:sz w:val="20"/>
              </w:rPr>
              <w:t xml:space="preserve"> Aplica-se. Quem cria é detentor para efeitos do diploma sanitário, e o artigo 3.º dirige-se-lhe. A questão em aberto não é essa; é apenas a de saber se os números do artigo 3.º funcionam como teto de lotação do estabelecimento.</w:t>
            </w:r>
          </w:p>
        </w:tc>
      </w:tr>
    </w:tbl>
    <w:p>
      <w:pPr>
        <w:spacing w:before="0" w:after="180" w:line="293" w:lineRule="auto"/>
      </w:pPr>
    </w:p>
    <w:p>
      <w:pPr>
        <w:keepNext/>
        <w:spacing w:before="200" w:after="60" w:line="293" w:lineRule="auto"/>
      </w:pPr>
      <w:r>
        <w:rPr>
          <w:rFonts w:ascii="Aptos" w:hAnsi="Aptos" w:cs="Aptos" w:eastAsia="Aptos"/>
          <w:b/>
          <w:i w:val="0"/>
          <w:color w:val="5C7891"/>
          <w:sz w:val="19"/>
        </w:rPr>
        <w:t>6.3  O n.º 4 tem estrutura de norma de capacidade</w:t>
      </w:r>
    </w:p>
    <w:p>
      <w:pPr>
        <w:spacing w:before="0" w:after="140" w:line="293" w:lineRule="auto"/>
        <w:jc w:val="both"/>
      </w:pPr>
      <w:r>
        <w:rPr>
          <w:rFonts w:ascii="Aptos" w:hAnsi="Aptos" w:cs="Aptos" w:eastAsia="Aptos"/>
          <w:b w:val="0"/>
          <w:i w:val="0"/>
          <w:color w:val="2B2B2B"/>
          <w:sz w:val="20"/>
        </w:rPr>
        <w:t>O artigo 3.º não se limita a impor condições higiossanitárias. No n.º 4 gradua o número admissível em função da área disponível — «podendo tal número ser excedido se a dimensão do terreno o permitir» —, que é a lógica própria das normas de lotação.</w:t>
      </w:r>
    </w:p>
    <w:p>
      <w:pPr>
        <w:keepNext/>
        <w:spacing w:before="200" w:after="60" w:line="293" w:lineRule="auto"/>
      </w:pPr>
      <w:r>
        <w:rPr>
          <w:rFonts w:ascii="Aptos" w:hAnsi="Aptos" w:cs="Aptos" w:eastAsia="Aptos"/>
          <w:b/>
          <w:i w:val="0"/>
          <w:color w:val="5C7891"/>
          <w:sz w:val="19"/>
        </w:rPr>
        <w:t>6.4  Nenhum dos diplomas contém norma de articulação</w:t>
      </w:r>
    </w:p>
    <w:p>
      <w:pPr>
        <w:spacing w:before="0" w:after="140" w:line="293" w:lineRule="auto"/>
        <w:jc w:val="both"/>
      </w:pPr>
      <w:r>
        <w:rPr>
          <w:rFonts w:ascii="Aptos" w:hAnsi="Aptos" w:cs="Aptos" w:eastAsia="Aptos"/>
          <w:b w:val="0"/>
          <w:i w:val="0"/>
          <w:color w:val="2B2B2B"/>
          <w:sz w:val="20"/>
        </w:rPr>
        <w:t>Não existe preceito que isente o alojamento titulado do artigo 3.º, nem preceito que declare os limites aplicáveis aos estabelecimentos. O silêncio é recíproco e total.</w:t>
      </w:r>
    </w:p>
    <w:p>
      <w:pPr>
        <w:keepNext/>
        <w:spacing w:before="200" w:after="60" w:line="293" w:lineRule="auto"/>
      </w:pPr>
      <w:r>
        <w:rPr>
          <w:rFonts w:ascii="Aptos" w:hAnsi="Aptos" w:cs="Aptos" w:eastAsia="Aptos"/>
          <w:b/>
          <w:i w:val="0"/>
          <w:color w:val="5C7891"/>
          <w:sz w:val="19"/>
        </w:rPr>
        <w:t>6.5  A ressalva da al. p) pressupõe sobreposição</w:t>
      </w:r>
    </w:p>
    <w:p>
      <w:pPr>
        <w:spacing w:before="0" w:after="140" w:line="293" w:lineRule="auto"/>
        <w:jc w:val="both"/>
      </w:pPr>
      <w:r>
        <w:rPr>
          <w:rFonts w:ascii="Aptos" w:hAnsi="Aptos" w:cs="Aptos" w:eastAsia="Aptos"/>
          <w:b w:val="0"/>
          <w:i w:val="0"/>
          <w:color w:val="2B2B2B"/>
          <w:sz w:val="20"/>
        </w:rPr>
        <w:t xml:space="preserve">O argumento que se costuma extrair da alteração introduzida pelo Decreto-Lei n.º 315/2003 funciona nos dois sentidos, e o sentido desfavorável merece ser explicitado. </w:t>
      </w:r>
      <w:r>
        <w:rPr>
          <w:rFonts w:ascii="Aptos" w:hAnsi="Aptos" w:cs="Aptos" w:eastAsia="Aptos"/>
          <w:b/>
          <w:i w:val="0"/>
          <w:color w:val="2B2B2B"/>
          <w:sz w:val="20"/>
        </w:rPr>
        <w:t>Se os dois regimes não se tocassem, não teria sido necessária exceção nenhuma.</w:t>
      </w:r>
      <w:r>
        <w:rPr>
          <w:rFonts w:ascii="Aptos" w:hAnsi="Aptos" w:cs="Aptos" w:eastAsia="Aptos"/>
          <w:b w:val="0"/>
          <w:i w:val="0"/>
          <w:color w:val="2B2B2B"/>
          <w:sz w:val="20"/>
        </w:rPr>
        <w:t xml:space="preserve"> A inserção de uma ressalva na definição de hospedagem sem fins lucrativos demonstra que o legislador reconheceu que, sem ela, situações de detenção doméstica ficariam abrangidas pelo conceito de alojamento.</w:t>
      </w:r>
    </w:p>
    <w:p>
      <w:pPr>
        <w:spacing w:before="0" w:after="140" w:line="293" w:lineRule="auto"/>
        <w:jc w:val="both"/>
      </w:pPr>
      <w:r>
        <w:rPr>
          <w:rFonts w:ascii="Aptos" w:hAnsi="Aptos" w:cs="Aptos" w:eastAsia="Aptos"/>
          <w:b w:val="0"/>
          <w:i w:val="0"/>
          <w:color w:val="2B2B2B"/>
          <w:sz w:val="20"/>
        </w:rPr>
        <w:t>E a exceção é estreita. «Das referidas» é feminino plural e só pode reportar-se às fracções autónomas mencionadas no n.º 3 do artigo 3.º. Quem detém animais em moradia ou em prédio rústico não está abrangido pela ressalva. Lido literalmente, o preceito conduz a que a generalidade da detenção doméstica caia na definição de hospedagem sem fins lucrativos e fique sujeita a mera comunicação prévia. Um argumento *a contrario* construído sobre a al. p) pode, por isso, voltar-se contra quem o invoca.</w:t>
      </w:r>
    </w:p>
    <w:p>
      <w:pPr>
        <w:keepNext/>
        <w:spacing w:before="200" w:after="60" w:line="293" w:lineRule="auto"/>
      </w:pPr>
      <w:r>
        <w:rPr>
          <w:rFonts w:ascii="Aptos" w:hAnsi="Aptos" w:cs="Aptos" w:eastAsia="Aptos"/>
          <w:b/>
          <w:i w:val="0"/>
          <w:color w:val="5C7891"/>
          <w:sz w:val="19"/>
        </w:rPr>
        <w:t>6.6  A norma sancionatória alcança o terreno anexo</w:t>
      </w:r>
    </w:p>
    <w:p>
      <w:pPr>
        <w:spacing w:before="0" w:after="140" w:line="293" w:lineRule="auto"/>
        <w:jc w:val="both"/>
      </w:pPr>
      <w:r>
        <w:rPr>
          <w:rFonts w:ascii="Aptos" w:hAnsi="Aptos" w:cs="Aptos" w:eastAsia="Aptos"/>
          <w:b w:val="0"/>
          <w:i w:val="0"/>
          <w:color w:val="2B2B2B"/>
          <w:sz w:val="20"/>
        </w:rPr>
        <w:t xml:space="preserve">A al. c) do n.º 3 do artigo 14.º tipifica a conduta como «permanência de cães e gatos em habitações </w:t>
      </w:r>
      <w:r>
        <w:rPr>
          <w:rFonts w:ascii="Aptos" w:hAnsi="Aptos" w:cs="Aptos" w:eastAsia="Aptos"/>
          <w:b/>
          <w:i w:val="0"/>
          <w:color w:val="2B2B2B"/>
          <w:sz w:val="20"/>
        </w:rPr>
        <w:t>e terrenos anexos</w:t>
      </w:r>
      <w:r>
        <w:rPr>
          <w:rFonts w:ascii="Aptos" w:hAnsi="Aptos" w:cs="Aptos" w:eastAsia="Aptos"/>
          <w:b w:val="0"/>
          <w:i w:val="0"/>
          <w:color w:val="2B2B2B"/>
          <w:sz w:val="20"/>
        </w:rPr>
        <w:t>». O «terreno anexo» alcança literalmente o quintal, e com ele as instalações que aí sejam construídas.</w:t>
      </w:r>
    </w:p>
    <w:p>
      <w:pPr>
        <w:keepNext/>
        <w:spacing w:before="200" w:after="60" w:line="293" w:lineRule="auto"/>
      </w:pPr>
      <w:r>
        <w:rPr>
          <w:rFonts w:ascii="Aptos" w:hAnsi="Aptos" w:cs="Aptos" w:eastAsia="Aptos"/>
          <w:b/>
          <w:i w:val="0"/>
          <w:color w:val="5C7891"/>
          <w:sz w:val="19"/>
        </w:rPr>
        <w:t>6.7  Não há prova de que a articulação tenha sido deliberada</w:t>
      </w:r>
    </w:p>
    <w:p>
      <w:pPr>
        <w:spacing w:before="0" w:after="140" w:line="293" w:lineRule="auto"/>
        <w:jc w:val="both"/>
      </w:pPr>
      <w:r>
        <w:rPr>
          <w:rFonts w:ascii="Aptos" w:hAnsi="Aptos" w:cs="Aptos" w:eastAsia="Aptos"/>
          <w:b w:val="0"/>
          <w:i w:val="0"/>
          <w:color w:val="2B2B2B"/>
          <w:sz w:val="20"/>
        </w:rPr>
        <w:t xml:space="preserve">Sustentou-se por vezes que, tendo os dois diplomas a mesma data — 17 de dezembro de 2003 —, o legislador teria conscientemente delimitado os regimes. A afirmação não resiste à consulta do preâmbulo do Decreto-Lei n.º 315/2003, que enuncia como finalidades a autonomização do regime dos animais potencialmente perigosos, a correção de inexatidões do texto anterior e o reforço de normas de bem-estar, e que </w:t>
      </w:r>
      <w:r>
        <w:rPr>
          <w:rFonts w:ascii="Aptos" w:hAnsi="Aptos" w:cs="Aptos" w:eastAsia="Aptos"/>
          <w:b/>
          <w:i w:val="0"/>
          <w:color w:val="2B2B2B"/>
          <w:sz w:val="20"/>
        </w:rPr>
        <w:t>não faz qualquer referência ao Decreto-Lei n.º 314/2003 nem ao programa da raiva</w:t>
      </w:r>
      <w:r>
        <w:rPr>
          <w:rFonts w:ascii="Aptos" w:hAnsi="Aptos" w:cs="Aptos" w:eastAsia="Aptos"/>
          <w:b w:val="0"/>
          <w:i w:val="0"/>
          <w:color w:val="2B2B2B"/>
          <w:sz w:val="20"/>
        </w:rPr>
        <w:t>. A ressalva da al. p) apresenta-se, assim, com maior verosimilhança como uma das «correções de inexatidões» do que como ato de delimitação pensado.</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7.  </w:t>
      </w:r>
      <w:r>
        <w:rPr>
          <w:rFonts w:ascii="Aptos" w:hAnsi="Aptos" w:cs="Aptos" w:eastAsia="Aptos"/>
          <w:b/>
          <w:i w:val="0"/>
          <w:color w:val="35506B"/>
          <w:sz w:val="27"/>
        </w:rPr>
        <w:t>Elementos que sustentam a não aplicação</w:t>
      </w:r>
    </w:p>
    <w:p>
      <w:pPr>
        <w:keepNext/>
        <w:pBdr>
          <w:bottom w:val="single" w:sz="4" w:space="1" w:color="D7DEE5"/>
        </w:pBdr>
        <w:spacing w:before="0" w:after="160" w:line="40" w:lineRule="exact"/>
      </w:pPr>
    </w:p>
    <w:p>
      <w:pPr>
        <w:keepNext/>
        <w:spacing w:before="200" w:after="60" w:line="293" w:lineRule="auto"/>
      </w:pPr>
      <w:r>
        <w:rPr>
          <w:rFonts w:ascii="Aptos" w:hAnsi="Aptos" w:cs="Aptos" w:eastAsia="Aptos"/>
          <w:b/>
          <w:i w:val="0"/>
          <w:color w:val="5C7891"/>
          <w:sz w:val="19"/>
        </w:rPr>
        <w:t>7.1  A unidade do n.º 2 é o fogo</w:t>
      </w:r>
    </w:p>
    <w:p>
      <w:pPr>
        <w:spacing w:before="0" w:after="140" w:line="293" w:lineRule="auto"/>
        <w:jc w:val="both"/>
      </w:pPr>
      <w:r>
        <w:rPr>
          <w:rFonts w:ascii="Aptos" w:hAnsi="Aptos" w:cs="Aptos" w:eastAsia="Aptos"/>
          <w:b w:val="0"/>
          <w:i w:val="0"/>
          <w:color w:val="2B2B2B"/>
          <w:sz w:val="20"/>
        </w:rPr>
        <w:t>Desenvolvido no ponto 5. É o elemento decisivo: a norma conta animais por fogo, e onde não há fogo falta-lhe o termo de referência.</w:t>
      </w:r>
    </w:p>
    <w:p>
      <w:pPr>
        <w:keepNext/>
        <w:spacing w:before="200" w:after="60" w:line="293" w:lineRule="auto"/>
      </w:pPr>
      <w:r>
        <w:rPr>
          <w:rFonts w:ascii="Aptos" w:hAnsi="Aptos" w:cs="Aptos" w:eastAsia="Aptos"/>
          <w:b/>
          <w:i w:val="0"/>
          <w:color w:val="5C7891"/>
          <w:sz w:val="19"/>
        </w:rPr>
        <w:t>7.2  O alojamento registado é, por imposição legal, um conjunto de instalações individualizadas</w:t>
      </w:r>
    </w:p>
    <w:p>
      <w:pPr>
        <w:spacing w:before="0" w:after="140" w:line="293" w:lineRule="auto"/>
        <w:jc w:val="both"/>
      </w:pPr>
      <w:r>
        <w:rPr>
          <w:rFonts w:ascii="Aptos" w:hAnsi="Aptos" w:cs="Aptos" w:eastAsia="Aptos"/>
          <w:b w:val="0"/>
          <w:i w:val="0"/>
          <w:color w:val="2B2B2B"/>
          <w:sz w:val="20"/>
        </w:rPr>
        <w:t>Este é o segundo elemento decisivo, e é interno ao Decreto-Lei n.º 276/2001. Cumprir o artigo 25.º é, por definição, constituir um conjunto diferenciado da habitação: instalações individualizadas para armazenagem de alimentos e equipamento limpo, para lavagem e recolha de material e, tratando-se de reprodução ou criação, para maternidade, criação até à idade adulta, quarentena, enfermaria, manuseamento de alimentos e higienização, mais área de recreio coberta e descoberta.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Um fogo que cumpra o artigo 25.º deixou de ser apenas um fogo naquilo em que o cumpre. </w:t>
            </w:r>
            <w:r>
              <w:rPr>
                <w:rFonts w:ascii="Aptos" w:hAnsi="Aptos" w:cs="Aptos" w:eastAsia="Aptos"/>
                <w:b/>
                <w:i w:val="0"/>
                <w:color w:val="2B2B2B"/>
                <w:sz w:val="20"/>
              </w:rPr>
              <w:t>A lei não admite que o alojamento registado se confunda com a habitação: obriga a que dela se diferencie.</w:t>
            </w:r>
          </w:p>
        </w:tc>
      </w:tr>
    </w:tbl>
    <w:p>
      <w:pPr>
        <w:spacing w:before="0" w:after="180" w:line="293" w:lineRule="auto"/>
      </w:pPr>
    </w:p>
    <w:p>
      <w:pPr>
        <w:keepNext/>
        <w:spacing w:before="200" w:after="60" w:line="293" w:lineRule="auto"/>
      </w:pPr>
      <w:r>
        <w:rPr>
          <w:rFonts w:ascii="Aptos" w:hAnsi="Aptos" w:cs="Aptos" w:eastAsia="Aptos"/>
          <w:b/>
          <w:i w:val="0"/>
          <w:color w:val="5C7891"/>
          <w:sz w:val="19"/>
        </w:rPr>
        <w:t>7.3  A capacidade tem regime próprio e completo</w:t>
      </w:r>
    </w:p>
    <w:p>
      <w:pPr>
        <w:spacing w:before="0" w:after="140" w:line="293" w:lineRule="auto"/>
        <w:jc w:val="both"/>
      </w:pPr>
      <w:r>
        <w:rPr>
          <w:rFonts w:ascii="Aptos" w:hAnsi="Aptos" w:cs="Aptos" w:eastAsia="Aptos"/>
          <w:b w:val="0"/>
          <w:i w:val="0"/>
          <w:color w:val="2B2B2B"/>
          <w:sz w:val="20"/>
        </w:rPr>
        <w:t>A lotação é declarada pelo interessado no título de acesso — al. h) do n.º 1 do artigo 3.º-A — e materialmente limitada pelas dimensões mínimas do anexo III, por força do n.º 1 do artigo 27.º. Havendo regime especial completo, não há lacuna que justifique ir buscar a norma de capacidade a diploma com objeto diverso. A regra da especialidade impõe a prevalência do Decreto-Lei n.º 276/2001 nesta matéria.</w:t>
      </w:r>
    </w:p>
    <w:p>
      <w:pPr>
        <w:keepNext/>
        <w:spacing w:before="200" w:after="60" w:line="293" w:lineRule="auto"/>
      </w:pPr>
      <w:r>
        <w:rPr>
          <w:rFonts w:ascii="Aptos" w:hAnsi="Aptos" w:cs="Aptos" w:eastAsia="Aptos"/>
          <w:b/>
          <w:i w:val="0"/>
          <w:color w:val="5C7891"/>
          <w:sz w:val="19"/>
        </w:rPr>
        <w:t>7.4  A norma sancionatória qualifica o objeto do artigo 3.º</w:t>
      </w:r>
    </w:p>
    <w:p>
      <w:pPr>
        <w:spacing w:before="0" w:after="140" w:line="293" w:lineRule="auto"/>
        <w:jc w:val="both"/>
      </w:pPr>
      <w:r>
        <w:rPr>
          <w:rFonts w:ascii="Aptos" w:hAnsi="Aptos" w:cs="Aptos" w:eastAsia="Aptos"/>
          <w:b w:val="0"/>
          <w:i w:val="0"/>
          <w:color w:val="2B2B2B"/>
          <w:sz w:val="20"/>
        </w:rPr>
        <w:t xml:space="preserve">Quando teve de nomear, na norma sancionatória, a realidade que o artigo 3.º disciplina, o legislador não empregou «alojamento», «estabelecimento» nem «canil». Empregou «habitações e terrenos anexos». O elemento é relevante porque provém da norma que delimita condutas puníveis e, por isso, exige precisão. </w:t>
      </w:r>
      <w:r>
        <w:rPr>
          <w:rFonts w:ascii="Aptos" w:hAnsi="Aptos" w:cs="Aptos" w:eastAsia="Aptos"/>
          <w:b/>
          <w:i w:val="0"/>
          <w:color w:val="2B2B2B"/>
          <w:sz w:val="20"/>
        </w:rPr>
        <w:t>Não existe no Decreto-Lei n.º 314/2003 qualquer tipo que puna o exercício de atividade em estabelecimento acima de determinada lotação.</w:t>
      </w:r>
    </w:p>
    <w:p>
      <w:pPr>
        <w:keepNext/>
        <w:spacing w:before="200" w:after="60" w:line="293" w:lineRule="auto"/>
      </w:pPr>
      <w:r>
        <w:rPr>
          <w:rFonts w:ascii="Aptos" w:hAnsi="Aptos" w:cs="Aptos" w:eastAsia="Aptos"/>
          <w:b/>
          <w:i w:val="0"/>
          <w:color w:val="5C7891"/>
          <w:sz w:val="19"/>
        </w:rPr>
        <w:t>7.5  O diploma sanitário sabe distinguir estabelecimento de habitação</w:t>
      </w:r>
    </w:p>
    <w:p>
      <w:pPr>
        <w:spacing w:before="0" w:after="140" w:line="293" w:lineRule="auto"/>
        <w:jc w:val="both"/>
      </w:pPr>
      <w:r>
        <w:rPr>
          <w:rFonts w:ascii="Aptos" w:hAnsi="Aptos" w:cs="Aptos" w:eastAsia="Aptos"/>
          <w:b w:val="0"/>
          <w:i w:val="0"/>
          <w:color w:val="2B2B2B"/>
          <w:sz w:val="20"/>
        </w:rPr>
        <w:t>O Decreto-Lei n.º 314/2003 conhece e regula estabelecimentos — mas fá-lo em artigo próprio, distinto do artigo 3.º e com alínea sancionatória distinta. A arrumação interna é esta: artigo 3.º para as habitações e terrenos anexos, punido pela al. c); artigo 5.º para os estabelecimentos de comércio, punido pela al. f). A distinção é do próprio legislador sanitário. O que não existe é artigo do mesmo diploma dedicado aos estabelecimentos de criação.</w:t>
      </w:r>
    </w:p>
    <w:p>
      <w:pPr>
        <w:keepNext/>
        <w:spacing w:before="200" w:after="60" w:line="293" w:lineRule="auto"/>
      </w:pPr>
      <w:r>
        <w:rPr>
          <w:rFonts w:ascii="Aptos" w:hAnsi="Aptos" w:cs="Aptos" w:eastAsia="Aptos"/>
          <w:b/>
          <w:i w:val="0"/>
          <w:color w:val="5C7891"/>
          <w:sz w:val="19"/>
        </w:rPr>
        <w:t>7.6  O diploma dos alojamentos admite expressamente alojamentos em casas de habitação</w:t>
      </w:r>
    </w:p>
    <w:p>
      <w:pPr>
        <w:spacing w:before="0" w:after="140" w:line="293" w:lineRule="auto"/>
        <w:jc w:val="both"/>
      </w:pPr>
      <w:r>
        <w:rPr>
          <w:rFonts w:ascii="Aptos" w:hAnsi="Aptos" w:cs="Aptos" w:eastAsia="Aptos"/>
          <w:b w:val="0"/>
          <w:i w:val="0"/>
          <w:color w:val="2B2B2B"/>
          <w:sz w:val="20"/>
        </w:rPr>
        <w:t>Se a classificação do prédio fosse determinante para o acesso à atividade, o diploma dos alojamentos não teria de prever o acesso das autoridades a casas de habitação para controlar o alojamento e o seu titular. O n.º 2 do artigo 67.º-A pressupõe que um alojamento com titular de exploração possa situar-se numa casa de habitação.</w:t>
      </w:r>
    </w:p>
    <w:p>
      <w:pPr>
        <w:keepNext/>
        <w:spacing w:before="200" w:after="60" w:line="293" w:lineRule="auto"/>
      </w:pPr>
      <w:r>
        <w:rPr>
          <w:rFonts w:ascii="Aptos" w:hAnsi="Aptos" w:cs="Aptos" w:eastAsia="Aptos"/>
          <w:b/>
          <w:i w:val="0"/>
          <w:color w:val="5C7891"/>
          <w:sz w:val="19"/>
        </w:rPr>
        <w:t>7.7  Autoridades e procedimentos não coincidem</w:t>
      </w:r>
    </w:p>
    <w:p>
      <w:pPr>
        <w:spacing w:before="0" w:after="140" w:line="293" w:lineRule="auto"/>
        <w:jc w:val="both"/>
      </w:pPr>
      <w:r>
        <w:rPr>
          <w:rFonts w:ascii="Aptos" w:hAnsi="Aptos" w:cs="Aptos" w:eastAsia="Aptos"/>
          <w:b w:val="0"/>
          <w:i w:val="0"/>
          <w:color w:val="2B2B2B"/>
          <w:sz w:val="20"/>
        </w:rPr>
        <w:t>O artigo 3.º do Decreto-Lei n.º 314/2003 é executado pela câmara municipal, com o delegado de saúde e o médico veterinário municipal, e sancionado pelo diretor-geral. O Decreto-Lei n.º 276/2001 assenta na mera comunicação prévia à DGAV. Desde a revogação dos n.ºs 2 a 10 do seu artigo 3.º pelo Decreto-Lei n.º 260/2012 não existe momento procedimental, na fase de fiscalização e remoção, em que as duas autoridades se encontrem.</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w:t>
            </w:r>
            <w:r>
              <w:rPr>
                <w:rFonts w:ascii="Aptos" w:hAnsi="Aptos" w:cs="Aptos" w:eastAsia="Aptos"/>
                <w:b w:val="0"/>
                <w:i w:val="0"/>
                <w:color w:val="2B2B2B"/>
                <w:sz w:val="19"/>
              </w:rPr>
              <w:t xml:space="preserve"> Na fase sancionatória encontram-se. A al. c) do n.º 3 do artigo 14.º do Decreto-Lei n.º 314/2003 é punível pelo diretor-geral, e o artigo 70.º do Decreto-Lei n.º 276/2001 comete à DGAV a instrução e ao seu diretor-geral a aplicação das coimas. É a mesma entidade. O que não coincide é a fiscalização, municipal num caso e da DGAV no outro. O ponto 9.5 retira daqui as consequências.</w:t>
            </w:r>
          </w:p>
        </w:tc>
      </w:tr>
    </w:tbl>
    <w:p>
      <w:pPr>
        <w:spacing w:before="0" w:after="180" w:line="293" w:lineRule="auto"/>
      </w:pPr>
    </w:p>
    <w:p>
      <w:pPr>
        <w:keepNext/>
        <w:spacing w:before="200" w:after="60" w:line="293" w:lineRule="auto"/>
      </w:pPr>
      <w:r>
        <w:rPr>
          <w:rFonts w:ascii="Aptos" w:hAnsi="Aptos" w:cs="Aptos" w:eastAsia="Aptos"/>
          <w:b/>
          <w:i w:val="0"/>
          <w:color w:val="5C7891"/>
          <w:sz w:val="19"/>
        </w:rPr>
        <w:t>7.8  Cláusula expressa de cumulação</w:t>
      </w:r>
    </w:p>
    <w:p>
      <w:pPr>
        <w:spacing w:before="0" w:after="140" w:line="293" w:lineRule="auto"/>
        <w:jc w:val="both"/>
      </w:pPr>
      <w:r>
        <w:rPr>
          <w:rFonts w:ascii="Aptos" w:hAnsi="Aptos" w:cs="Aptos" w:eastAsia="Aptos"/>
          <w:b w:val="0"/>
          <w:i w:val="0"/>
          <w:color w:val="2B2B2B"/>
          <w:sz w:val="20"/>
        </w:rPr>
        <w:t xml:space="preserve">O artigo 24.º manda cumprir as condições do capítulo III «sem prejuízo das demais disposições aplicáveis». É cláusula expressa de cumulação, e o seu destinatário é o </w:t>
      </w:r>
      <w:r>
        <w:rPr>
          <w:rFonts w:ascii="Aptos" w:hAnsi="Aptos" w:cs="Aptos" w:eastAsia="Aptos"/>
          <w:b/>
          <w:i w:val="0"/>
          <w:color w:val="2B2B2B"/>
          <w:sz w:val="20"/>
        </w:rPr>
        <w:t>detentor</w:t>
      </w:r>
      <w:r>
        <w:rPr>
          <w:rFonts w:ascii="Aptos" w:hAnsi="Aptos" w:cs="Aptos" w:eastAsia="Aptos"/>
          <w:b w:val="0"/>
          <w:i w:val="0"/>
          <w:color w:val="2B2B2B"/>
          <w:sz w:val="20"/>
        </w:rPr>
        <w:t xml:space="preserve"> que se dedica à reprodução, criação, manutenção ou venda — não o «titular da exploração». Cumular não é sobrepor.</w:t>
      </w:r>
    </w:p>
    <w:p>
      <w:pPr>
        <w:keepNext/>
        <w:spacing w:before="200" w:after="60" w:line="293" w:lineRule="auto"/>
      </w:pPr>
      <w:r>
        <w:rPr>
          <w:rFonts w:ascii="Aptos" w:hAnsi="Aptos" w:cs="Aptos" w:eastAsia="Aptos"/>
          <w:b/>
          <w:i w:val="0"/>
          <w:color w:val="5C7891"/>
          <w:sz w:val="19"/>
        </w:rPr>
        <w:t>7.9  O registo pressupõe a conformidade; não a dispensa</w:t>
      </w:r>
    </w:p>
    <w:p>
      <w:pPr>
        <w:spacing w:before="0" w:after="140" w:line="293" w:lineRule="auto"/>
        <w:jc w:val="both"/>
      </w:pPr>
      <w:r>
        <w:rPr>
          <w:rFonts w:ascii="Aptos" w:hAnsi="Aptos" w:cs="Aptos" w:eastAsia="Aptos"/>
          <w:b w:val="0"/>
          <w:i w:val="0"/>
          <w:color w:val="2B2B2B"/>
          <w:sz w:val="20"/>
        </w:rPr>
        <w:t xml:space="preserve">A al. j) do n.º 1 do artigo 3.º-A faz o interessado declarar o cumprimento da legislação aplicável aos animais de companhia, «nomeadamente em matéria de instalações, equipamentos, </w:t>
      </w:r>
      <w:r>
        <w:rPr>
          <w:rFonts w:ascii="Aptos" w:hAnsi="Aptos" w:cs="Aptos" w:eastAsia="Aptos"/>
          <w:b/>
          <w:i w:val="0"/>
          <w:color w:val="2B2B2B"/>
          <w:sz w:val="20"/>
        </w:rPr>
        <w:t>higiene</w:t>
      </w:r>
      <w:r>
        <w:rPr>
          <w:rFonts w:ascii="Aptos" w:hAnsi="Aptos" w:cs="Aptos" w:eastAsia="Aptos"/>
          <w:b w:val="0"/>
          <w:i w:val="0"/>
          <w:color w:val="2B2B2B"/>
          <w:sz w:val="20"/>
        </w:rPr>
        <w:t>, saúde e bem-estar dos animais». Registar não isenta: obriga a declarar que se cumpre tudo o resto, incluindo o n.º 1 do artigo 3.º.</w:t>
      </w: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8.  </w:t>
      </w:r>
      <w:r>
        <w:rPr>
          <w:rFonts w:ascii="Aptos" w:hAnsi="Aptos" w:cs="Aptos" w:eastAsia="Aptos"/>
          <w:b/>
          <w:i w:val="0"/>
          <w:color w:val="35506B"/>
          <w:sz w:val="27"/>
        </w:rPr>
        <w:t>O teste da absurdidade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Se o n.º 2 fosse teto de prédio urbano, seguir-se-iam estas consequências.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hotel para animais</w:t>
      </w:r>
      <w:r>
        <w:rPr>
          <w:rFonts w:ascii="Aptos" w:hAnsi="Aptos" w:cs="Aptos" w:eastAsia="Aptos"/>
          <w:b w:val="0"/>
          <w:i w:val="0"/>
          <w:color w:val="2B2B2B"/>
          <w:sz w:val="20"/>
        </w:rPr>
        <w:t xml:space="preserve"> — al. q) do n.º 1 do artigo 2.º e n.º 4 do artigo 25.º — instalado em prédio urbano poderia ter mais de seis animais adultos.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atendimento médico-veterinário</w:t>
      </w:r>
      <w:r>
        <w:rPr>
          <w:rFonts w:ascii="Aptos" w:hAnsi="Aptos" w:cs="Aptos" w:eastAsia="Aptos"/>
          <w:b w:val="0"/>
          <w:i w:val="0"/>
          <w:color w:val="2B2B2B"/>
          <w:sz w:val="20"/>
        </w:rPr>
        <w:t xml:space="preserve"> poderia internar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Nenhuma </w:t>
      </w:r>
      <w:r>
        <w:rPr>
          <w:rFonts w:ascii="Aptos" w:hAnsi="Aptos" w:cs="Aptos" w:eastAsia="Aptos"/>
          <w:b/>
          <w:i w:val="0"/>
          <w:color w:val="2B2B2B"/>
          <w:sz w:val="20"/>
        </w:rPr>
        <w:t>loja de venda</w:t>
      </w:r>
      <w:r>
        <w:rPr>
          <w:rFonts w:ascii="Aptos" w:hAnsi="Aptos" w:cs="Aptos" w:eastAsia="Aptos"/>
          <w:b w:val="0"/>
          <w:i w:val="0"/>
          <w:color w:val="2B2B2B"/>
          <w:sz w:val="20"/>
        </w:rPr>
        <w:t xml:space="preserve"> poderia expor mais de seis.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Nenhum </w:t>
      </w:r>
      <w:r>
        <w:rPr>
          <w:rFonts w:ascii="Aptos" w:hAnsi="Aptos" w:cs="Aptos" w:eastAsia="Aptos"/>
          <w:b/>
          <w:i w:val="0"/>
          <w:color w:val="2B2B2B"/>
          <w:sz w:val="20"/>
        </w:rPr>
        <w:t>centro de recolha oficial</w:t>
      </w:r>
      <w:r>
        <w:rPr>
          <w:rFonts w:ascii="Aptos" w:hAnsi="Aptos" w:cs="Aptos" w:eastAsia="Aptos"/>
          <w:b w:val="0"/>
          <w:i w:val="0"/>
          <w:color w:val="2B2B2B"/>
          <w:sz w:val="20"/>
        </w:rPr>
        <w:t xml:space="preserve"> instalado em prédio urbano seria legal — e o anexo III tem alínea dedicada a centros de recolha, que pressupõe alojamento em grupo em canil.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O próprio n.º 5 do artigo 3.º manda remover os animais em excesso «para o canil ou gatil municipal», que teria assim de receber mais animais do que a lei lhe permitiria alojar.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Nenhuma destas consequências é sustentada por ninguém. </w:t>
            </w:r>
            <w:r>
              <w:rPr>
                <w:rFonts w:ascii="Aptos" w:hAnsi="Aptos" w:cs="Aptos" w:eastAsia="Aptos"/>
                <w:b/>
                <w:i w:val="0"/>
                <w:color w:val="2B2B2B"/>
                <w:sz w:val="20"/>
              </w:rPr>
              <w:t>E a razão pela qual não se verificam é sempre a mesma: nenhum destes locais é um fogo.</w:t>
            </w:r>
            <w:r>
              <w:rPr>
                <w:rFonts w:ascii="Aptos" w:hAnsi="Aptos" w:cs="Aptos" w:eastAsia="Aptos"/>
                <w:b w:val="0"/>
                <w:i w:val="0"/>
                <w:color w:val="2B2B2B"/>
                <w:sz w:val="20"/>
              </w:rPr>
              <w:t xml:space="preserve"> O teste não é retórico — confirma, por via independente, a leitura exposta no ponto 5.</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9.  </w:t>
      </w:r>
      <w:r>
        <w:rPr>
          <w:rFonts w:ascii="Aptos" w:hAnsi="Aptos" w:cs="Aptos" w:eastAsia="Aptos"/>
          <w:b/>
          <w:i w:val="0"/>
          <w:color w:val="35506B"/>
          <w:sz w:val="27"/>
        </w:rPr>
        <w:t>Ponderação e resolução das questões interpretativas</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9.1  </w:t>
      </w:r>
      <w:r>
        <w:rPr>
          <w:rFonts w:ascii="Aptos" w:hAnsi="Aptos" w:cs="Aptos" w:eastAsia="Aptos"/>
          <w:b/>
          <w:i w:val="0"/>
          <w:color w:val="35506B"/>
          <w:sz w:val="21"/>
        </w:rPr>
        <w:t>O que a palavra «alojamento» significa no artigo 3.º</w:t>
      </w:r>
    </w:p>
    <w:p>
      <w:pPr>
        <w:spacing w:before="0" w:after="140" w:line="293" w:lineRule="auto"/>
        <w:jc w:val="both"/>
      </w:pPr>
      <w:r>
        <w:rPr>
          <w:rFonts w:ascii="Aptos" w:hAnsi="Aptos" w:cs="Aptos" w:eastAsia="Aptos"/>
          <w:b w:val="0"/>
          <w:i w:val="0"/>
          <w:color w:val="2B2B2B"/>
          <w:sz w:val="20"/>
        </w:rPr>
        <w:t xml:space="preserve">O ponto 6.1 registou, entre os elementos favoráveis à aplicação, que o artigo 3.º emprega a mesma palavra que define o objeto do Decreto-Lei n.º 276/2001. O argumento merece resposta direta, e a resposta obtém-se contando. A palavra e os seus derivados ocorrem </w:t>
      </w:r>
      <w:r>
        <w:rPr>
          <w:rFonts w:ascii="Aptos" w:hAnsi="Aptos" w:cs="Aptos" w:eastAsia="Aptos"/>
          <w:b/>
          <w:i w:val="0"/>
          <w:color w:val="2B2B2B"/>
          <w:sz w:val="20"/>
        </w:rPr>
        <w:t>nove vezes</w:t>
      </w:r>
      <w:r>
        <w:rPr>
          <w:rFonts w:ascii="Aptos" w:hAnsi="Aptos" w:cs="Aptos" w:eastAsia="Aptos"/>
          <w:b w:val="0"/>
          <w:i w:val="0"/>
          <w:color w:val="2B2B2B"/>
          <w:sz w:val="20"/>
        </w:rPr>
        <w:t xml:space="preserve"> em todo o Decreto-Lei n.º 314/2003.</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Onde</w:t>
            </w:r>
          </w:p>
        </w:tc>
        <w:tc>
          <w:tcPr>
            <w:tcW w:type="dxa" w:w="532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Texto</w:t>
            </w:r>
          </w:p>
        </w:tc>
        <w:tc>
          <w:tcPr>
            <w:tcW w:type="dxa" w:w="215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Sentido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alojamento de cães e gatos em prédios urbanos, rústicos ou mistos»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Contestado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três cães ou quatro gatos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 autorizado alojamento até ao máximo de seis animais adultos»</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«podem ser alojados até seis animais adultos»</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art.º 3.º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de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«ficam obrigados a quarentena em alojamento autorizado para o efeito»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Lugar</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6.º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«ou pelo alojamento em canil ou gatil, preferencialmente oficial»</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9.º</w:t>
            </w:r>
          </w:p>
        </w:tc>
        <w:tc>
          <w:tcPr>
            <w:tcW w:type="dxa" w:w="532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«todas as despesas de alimentação e alojamento»</w:t>
            </w:r>
          </w:p>
        </w:tc>
        <w:tc>
          <w:tcPr>
            <w:tcW w:type="dxa" w:w="215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3 do art.º 9.º</w:t>
            </w:r>
          </w:p>
        </w:tc>
        <w:tc>
          <w:tcPr>
            <w:tcW w:type="dxa" w:w="532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«as condições exigidas pelo presente diploma para o seu alojamento»</w:t>
            </w:r>
          </w:p>
        </w:tc>
        <w:tc>
          <w:tcPr>
            <w:tcW w:type="dxa" w:w="215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Facto</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Sete das nove ocorrências são o facto de alojar. Uma — a quarentena do artigo 6.º — é inequivocamente o lugar. E a contestada é a do n.º 1.</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ocorrência decisiva está </w:t>
            </w:r>
            <w:r>
              <w:rPr>
                <w:rFonts w:ascii="Aptos" w:hAnsi="Aptos" w:cs="Aptos" w:eastAsia="Aptos"/>
                <w:b/>
                <w:i w:val="0"/>
                <w:color w:val="2B2B2B"/>
                <w:sz w:val="20"/>
              </w:rPr>
              <w:t>dentro da própria norma dos limites</w:t>
            </w:r>
            <w:r>
              <w:rPr>
                <w:rFonts w:ascii="Aptos" w:hAnsi="Aptos" w:cs="Aptos" w:eastAsia="Aptos"/>
                <w:b w:val="0"/>
                <w:i w:val="0"/>
                <w:color w:val="2B2B2B"/>
                <w:sz w:val="20"/>
              </w:rPr>
              <w:t xml:space="preserve">: o n.º 2 prevê que «for autorizado alojamento até ao máximo de seis animais adultos». Não se autoriza um edifício «até ao máximo de seis animais»; autoriza-se o </w:t>
            </w:r>
            <w:r>
              <w:rPr>
                <w:rFonts w:ascii="Aptos" w:hAnsi="Aptos" w:cs="Aptos" w:eastAsia="Aptos"/>
                <w:b/>
                <w:i w:val="0"/>
                <w:color w:val="2B2B2B"/>
                <w:sz w:val="20"/>
              </w:rPr>
              <w:t>alojar</w:t>
            </w:r>
            <w:r>
              <w:rPr>
                <w:rFonts w:ascii="Aptos" w:hAnsi="Aptos" w:cs="Aptos" w:eastAsia="Aptos"/>
                <w:b w:val="0"/>
                <w:i w:val="0"/>
                <w:color w:val="2B2B2B"/>
                <w:sz w:val="20"/>
              </w:rPr>
              <w:t xml:space="preserve"> de até seis. No artigo 3.º, a palavra é o facto.</w:t>
            </w:r>
          </w:p>
        </w:tc>
      </w:tr>
    </w:tbl>
    <w:p>
      <w:pPr>
        <w:spacing w:before="0" w:after="180" w:line="293" w:lineRule="auto"/>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epígrafe confirma-o.</w:t>
      </w:r>
      <w:r>
        <w:rPr>
          <w:rFonts w:ascii="Aptos" w:hAnsi="Aptos" w:cs="Aptos" w:eastAsia="Aptos"/>
          <w:b w:val="0"/>
          <w:i w:val="0"/>
          <w:color w:val="2B2B2B"/>
          <w:sz w:val="20"/>
        </w:rPr>
        <w:t xml:space="preserve"> O artigo 3.º intitula-se «Detenção de cães e gatos» — uma conduta. Compare-se com os capítulos do Decreto-Lei n.º 276/2001, que se intitulam «Normas para os alojamentos de...». Quando o legislador quer regular estabelecimentos, di-lo na epígrafe.</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norma sancionatória usa outro vocábulo ainda.</w:t>
      </w:r>
      <w:r>
        <w:rPr>
          <w:rFonts w:ascii="Aptos" w:hAnsi="Aptos" w:cs="Aptos" w:eastAsia="Aptos"/>
          <w:b w:val="0"/>
          <w:i w:val="0"/>
          <w:color w:val="2B2B2B"/>
          <w:sz w:val="20"/>
        </w:rPr>
        <w:t xml:space="preserve"> A al. c) do n.º 3 do artigo 14.º tipifica «a permanência de cães e gatos em habitações e terrenos anexos» — um estado, situado em habitações.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o diploma nunca chama «alojamento» a uma instalação de acolhimento.</w:t>
      </w:r>
      <w:r>
        <w:rPr>
          <w:rFonts w:ascii="Aptos" w:hAnsi="Aptos" w:cs="Aptos" w:eastAsia="Aptos"/>
          <w:b w:val="0"/>
          <w:i w:val="0"/>
          <w:color w:val="2B2B2B"/>
          <w:sz w:val="20"/>
        </w:rPr>
        <w:t xml:space="preserve"> Quando se refere a uma, diz «canil ou gatil municipal», «canis e gatis», «instalações» ou «estabelecimentos».</w:t>
      </w:r>
    </w:p>
    <w:p>
      <w:pPr>
        <w:spacing w:before="0" w:after="140" w:line="293" w:lineRule="auto"/>
        <w:jc w:val="both"/>
      </w:pPr>
      <w:r>
        <w:rPr>
          <w:rFonts w:ascii="Aptos" w:hAnsi="Aptos" w:cs="Aptos" w:eastAsia="Aptos"/>
          <w:b w:val="0"/>
          <w:i w:val="0"/>
          <w:color w:val="2B2B2B"/>
          <w:sz w:val="20"/>
        </w:rPr>
        <w:t>Quanto ao argumento do vocabulário comum, ele cai por inteiro: o próprio Decreto-Lei n.º 276/2001 usa a palavra nos dois sentidos, e em alíneas consecutivas. A al. n) do n.º 1 do artigo 2.º define «alojamento» como «qualquer instalação, edifício, grupo de edifícios ou outro local»; a al. o), imediatamente a seguir, define «hospedagem» como «o alojamento, permanente ou temporário, de um animal de companhia». Lugar numa linha, facto na seguinte.</w:t>
      </w:r>
    </w:p>
    <w:p>
      <w:pPr>
        <w:keepNext/>
        <w:spacing w:before="260" w:after="80" w:line="293" w:lineRule="auto"/>
      </w:pPr>
      <w:r>
        <w:rPr>
          <w:rFonts w:ascii="Aptos" w:hAnsi="Aptos" w:cs="Aptos" w:eastAsia="Aptos"/>
          <w:b/>
          <w:i w:val="0"/>
          <w:color w:val="7C8894"/>
          <w:sz w:val="21"/>
        </w:rPr>
        <w:t xml:space="preserve">9.2  </w:t>
      </w:r>
      <w:r>
        <w:rPr>
          <w:rFonts w:ascii="Aptos" w:hAnsi="Aptos" w:cs="Aptos" w:eastAsia="Aptos"/>
          <w:b/>
          <w:i w:val="0"/>
          <w:color w:val="35506B"/>
          <w:sz w:val="21"/>
        </w:rPr>
        <w:t>O que esta resposta entrega, e o que não entrega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questão 5 resolve-se </w:t>
            </w:r>
            <w:r>
              <w:rPr>
                <w:rFonts w:ascii="Aptos" w:hAnsi="Aptos" w:cs="Aptos" w:eastAsia="Aptos"/>
                <w:b/>
                <w:i w:val="0"/>
                <w:color w:val="2B2B2B"/>
                <w:sz w:val="20"/>
              </w:rPr>
              <w:t>contra</w:t>
            </w:r>
            <w:r>
              <w:rPr>
                <w:rFonts w:ascii="Aptos" w:hAnsi="Aptos" w:cs="Aptos" w:eastAsia="Aptos"/>
                <w:b w:val="0"/>
                <w:i w:val="0"/>
                <w:color w:val="2B2B2B"/>
                <w:sz w:val="20"/>
              </w:rPr>
              <w:t xml:space="preserve"> este estudo num ponto e a favor noutro, e é preciso dizê-lo com clareza. Se o artigo 3.º regula o facto de alojar, então regula-o </w:t>
            </w:r>
            <w:r>
              <w:rPr>
                <w:rFonts w:ascii="Aptos" w:hAnsi="Aptos" w:cs="Aptos" w:eastAsia="Aptos"/>
                <w:b/>
                <w:i w:val="0"/>
                <w:color w:val="2B2B2B"/>
                <w:sz w:val="20"/>
              </w:rPr>
              <w:t>seja quem for quem aloja</w:t>
            </w:r>
            <w:r>
              <w:rPr>
                <w:rFonts w:ascii="Aptos" w:hAnsi="Aptos" w:cs="Aptos" w:eastAsia="Aptos"/>
                <w:b w:val="0"/>
                <w:i w:val="0"/>
                <w:color w:val="2B2B2B"/>
                <w:sz w:val="20"/>
              </w:rPr>
              <w:t xml:space="preserve"> — incluindo o titular de um alojamento registado. A palavra não afasta o estabelecimento.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que mantém o estabelecimento fora dos números não é o vocábulo: é a </w:t>
      </w:r>
      <w:r>
        <w:rPr>
          <w:rFonts w:ascii="Aptos" w:hAnsi="Aptos" w:cs="Aptos" w:eastAsia="Aptos"/>
          <w:b/>
          <w:i w:val="0"/>
          <w:color w:val="2B2B2B"/>
          <w:sz w:val="20"/>
        </w:rPr>
        <w:t>unidade de contagem</w:t>
      </w:r>
      <w:r>
        <w:rPr>
          <w:rFonts w:ascii="Aptos" w:hAnsi="Aptos" w:cs="Aptos" w:eastAsia="Aptos"/>
          <w:b w:val="0"/>
          <w:i w:val="0"/>
          <w:color w:val="2B2B2B"/>
          <w:sz w:val="20"/>
        </w:rPr>
        <w:t>. O n.º 2 conta por fogo, e um alojamento não é um fogo, pelas razões do capítulo 5. O n.º 1, esse, aplica-se a toda a gente, incluindo ao alojamento registado — e é exatamente isso que este estudo afirma desde as conclusões.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Toda a conclusão repousa, portanto, na </w:t>
            </w:r>
            <w:r>
              <w:rPr>
                <w:rFonts w:ascii="Aptos" w:hAnsi="Aptos" w:cs="Aptos" w:eastAsia="Aptos"/>
                <w:b/>
                <w:i w:val="0"/>
                <w:color w:val="2B2B2B"/>
                <w:sz w:val="20"/>
              </w:rPr>
              <w:t>questão 4</w:t>
            </w:r>
            <w:r>
              <w:rPr>
                <w:rFonts w:ascii="Aptos" w:hAnsi="Aptos" w:cs="Aptos" w:eastAsia="Aptos"/>
                <w:b w:val="0"/>
                <w:i w:val="0"/>
                <w:color w:val="2B2B2B"/>
                <w:sz w:val="20"/>
              </w:rPr>
              <w:t xml:space="preserve"> — no conceito de fogo —, e não na palavra «alojamento». Quem quiser atacar a tese deste estudo deve atacar ali, e não aqui.</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9.3  </w:t>
      </w:r>
      <w:r>
        <w:rPr>
          <w:rFonts w:ascii="Aptos" w:hAnsi="Aptos" w:cs="Aptos" w:eastAsia="Aptos"/>
          <w:b/>
          <w:i w:val="0"/>
          <w:color w:val="35506B"/>
          <w:sz w:val="21"/>
        </w:rPr>
        <w:t>O alcance da norma sancionatória</w:t>
      </w:r>
    </w:p>
    <w:p>
      <w:pPr>
        <w:spacing w:before="0" w:after="140" w:line="293" w:lineRule="auto"/>
        <w:jc w:val="both"/>
      </w:pPr>
      <w:r>
        <w:rPr>
          <w:rFonts w:ascii="Aptos" w:hAnsi="Aptos" w:cs="Aptos" w:eastAsia="Aptos"/>
          <w:b w:val="0"/>
          <w:i w:val="0"/>
          <w:color w:val="2B2B2B"/>
          <w:sz w:val="20"/>
        </w:rPr>
        <w:t>Das sete alíneas do n.º 3 do artigo 14.º, só uma remete para o artigo 3.º, e é o único lugar do diploma onde o objeto desse artigo é nomeado.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c) A permanência de cães e gatos em habitações e terrenos anexos em desrespeito pelas condições previstas no artigo 3.º;</w:t>
            </w:r>
          </w:p>
          <w:p>
            <w:pPr>
              <w:spacing w:before="120" w:after="0" w:line="293" w:lineRule="auto"/>
            </w:pPr>
            <w:r>
              <w:rPr>
                <w:rFonts w:ascii="Aptos" w:hAnsi="Aptos" w:cs="Aptos" w:eastAsia="Aptos"/>
                <w:b w:val="0"/>
                <w:i w:val="0"/>
                <w:color w:val="7C8894"/>
                <w:sz w:val="15"/>
              </w:rPr>
              <w:t>Al. c) do n.º 3 do artigo 14.º do Decreto-Lei n.º 314/2003</w:t>
            </w:r>
          </w:p>
        </w:tc>
      </w:tr>
    </w:tbl>
    <w:p>
      <w:pPr>
        <w:spacing w:before="0" w:after="180" w:line="293" w:lineRule="auto"/>
      </w:pPr>
    </w:p>
    <w:p>
      <w:pPr>
        <w:keepNext/>
        <w:spacing w:before="200" w:after="60" w:line="293" w:lineRule="auto"/>
      </w:pPr>
      <w:r>
        <w:rPr>
          <w:rFonts w:ascii="Aptos" w:hAnsi="Aptos" w:cs="Aptos" w:eastAsia="Aptos"/>
          <w:b/>
          <w:i w:val="0"/>
          <w:color w:val="5C7891"/>
          <w:sz w:val="19"/>
        </w:rPr>
        <w:t>A redação é a original, e sobreviveu a uma intervenção parlamentar</w:t>
      </w:r>
    </w:p>
    <w:p>
      <w:pPr>
        <w:spacing w:before="0" w:after="140" w:line="293" w:lineRule="auto"/>
        <w:jc w:val="both"/>
      </w:pPr>
      <w:r>
        <w:rPr>
          <w:rFonts w:ascii="Aptos" w:hAnsi="Aptos" w:cs="Aptos" w:eastAsia="Aptos"/>
          <w:b w:val="0"/>
          <w:i w:val="0"/>
          <w:color w:val="2B2B2B"/>
          <w:sz w:val="20"/>
        </w:rPr>
        <w:t xml:space="preserve">O artigo 14.º foi alterado pelo Decreto-Lei n.º 20/2019, de 30 de janeiro, que transferiu competências para os órgãos municipais no domínio da proteção animal, e pela Resolução da Assembleia da República n.º 138/2019, de 8 de agosto, que fez </w:t>
      </w:r>
      <w:r>
        <w:rPr>
          <w:rFonts w:ascii="Aptos" w:hAnsi="Aptos" w:cs="Aptos" w:eastAsia="Aptos"/>
          <w:b/>
          <w:i w:val="0"/>
          <w:color w:val="2B2B2B"/>
          <w:sz w:val="20"/>
        </w:rPr>
        <w:t>cessar a vigência</w:t>
      </w:r>
      <w:r>
        <w:rPr>
          <w:rFonts w:ascii="Aptos" w:hAnsi="Aptos" w:cs="Aptos" w:eastAsia="Aptos"/>
          <w:b w:val="0"/>
          <w:i w:val="0"/>
          <w:color w:val="2B2B2B"/>
          <w:sz w:val="20"/>
        </w:rPr>
        <w:t xml:space="preserve"> daquele decreto-lei. Impunha-se verificar qual o texto hoje aplicável.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Conferida no Diário da República n.º 290, I série-A, de 17 de dezembro de 2003, a al. c) tem hoje </w:t>
            </w:r>
            <w:r>
              <w:rPr>
                <w:rFonts w:ascii="Aptos" w:hAnsi="Aptos" w:cs="Aptos" w:eastAsia="Aptos"/>
                <w:b/>
                <w:i w:val="0"/>
                <w:color w:val="2B2B2B"/>
                <w:sz w:val="20"/>
              </w:rPr>
              <w:t>exatamente a redação originária</w:t>
            </w:r>
            <w:r>
              <w:rPr>
                <w:rFonts w:ascii="Aptos" w:hAnsi="Aptos" w:cs="Aptos" w:eastAsia="Aptos"/>
                <w:b w:val="0"/>
                <w:i w:val="0"/>
                <w:color w:val="2B2B2B"/>
                <w:sz w:val="20"/>
              </w:rPr>
              <w:t>. Nunca foi alterada, e o seu teor atravessou incólume a única intervenção parlamentar que o artigo conheceu. Não é texto descuidado: é texto deliberado e reconfirmado.</w:t>
            </w:r>
          </w:p>
        </w:tc>
      </w:tr>
    </w:tbl>
    <w:p>
      <w:pPr>
        <w:spacing w:before="0" w:after="180" w:line="293" w:lineRule="auto"/>
      </w:pPr>
    </w:p>
    <w:p>
      <w:pPr>
        <w:keepNext/>
        <w:spacing w:before="200" w:after="60" w:line="293" w:lineRule="auto"/>
      </w:pPr>
      <w:r>
        <w:rPr>
          <w:rFonts w:ascii="Aptos" w:hAnsi="Aptos" w:cs="Aptos" w:eastAsia="Aptos"/>
          <w:b/>
          <w:i w:val="0"/>
          <w:color w:val="5C7891"/>
          <w:sz w:val="19"/>
        </w:rPr>
        <w:t>O tipo não pode ser alargado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Só será punido como contra-ordenação o facto descrito e declarado passível de coima por lei anterior ao momento da sua prática.</w:t>
            </w:r>
          </w:p>
          <w:p>
            <w:pPr>
              <w:spacing w:before="120" w:after="0" w:line="293" w:lineRule="auto"/>
            </w:pPr>
            <w:r>
              <w:rPr>
                <w:rFonts w:ascii="Aptos" w:hAnsi="Aptos" w:cs="Aptos" w:eastAsia="Aptos"/>
                <w:b w:val="0"/>
                <w:i w:val="0"/>
                <w:color w:val="7C8894"/>
                <w:sz w:val="15"/>
              </w:rPr>
              <w:t>Artigo 2.º do Regime Geral das Contra-Ordenações, aprovado pelo Decreto-Lei n.º 433/82, de 27 de outubro, conferido no Diário da República n.º 249, I série, a páginas 3553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Seja qual for o âmbito da norma de conduta, o âmbito do </w:t>
      </w:r>
      <w:r>
        <w:rPr>
          <w:rFonts w:ascii="Aptos" w:hAnsi="Aptos" w:cs="Aptos" w:eastAsia="Aptos"/>
          <w:b/>
          <w:i w:val="0"/>
          <w:color w:val="2B2B2B"/>
          <w:sz w:val="20"/>
        </w:rPr>
        <w:t>tipo</w:t>
      </w:r>
      <w:r>
        <w:rPr>
          <w:rFonts w:ascii="Aptos" w:hAnsi="Aptos" w:cs="Aptos" w:eastAsia="Aptos"/>
          <w:b w:val="0"/>
          <w:i w:val="0"/>
          <w:color w:val="2B2B2B"/>
          <w:sz w:val="20"/>
        </w:rPr>
        <w:t xml:space="preserve"> é o que a al. c) descreve. Não há punição por analogia nem extensão do tipo a espaços que ele não nomeia.</w:t>
      </w:r>
    </w:p>
    <w:p>
      <w:pPr>
        <w:keepNext/>
        <w:spacing w:before="200" w:after="60" w:line="293" w:lineRule="auto"/>
      </w:pPr>
      <w:r>
        <w:rPr>
          <w:rFonts w:ascii="Aptos" w:hAnsi="Aptos" w:cs="Aptos" w:eastAsia="Aptos"/>
          <w:b/>
          <w:i w:val="0"/>
          <w:color w:val="5C7891"/>
          <w:sz w:val="19"/>
        </w:rPr>
        <w:t>Duas palavras que decidem: «anexos» e «permanência»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«Anexos» é relacional.</w:t>
      </w:r>
      <w:r>
        <w:rPr>
          <w:rFonts w:ascii="Aptos" w:hAnsi="Aptos" w:cs="Aptos" w:eastAsia="Aptos"/>
          <w:b w:val="0"/>
          <w:i w:val="0"/>
          <w:color w:val="2B2B2B"/>
          <w:sz w:val="20"/>
        </w:rPr>
        <w:t xml:space="preserve"> Anexo pressupõe um principal, e o principal que a norma nomeia é a habitação. Um alojamento dotado das instalações individualizadas que o artigo 25.º do Decreto-Lei n.º 276/2001 exige não é «terreno anexo» a uma habitação: é coisa distinta dela. O texto mais incómodo para este estudo, lido com atenção, situa o objeto sancionado na casa e no seu redor imediato.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«Permanência» é um estado, não uma atividade.</w:t>
      </w:r>
      <w:r>
        <w:rPr>
          <w:rFonts w:ascii="Aptos" w:hAnsi="Aptos" w:cs="Aptos" w:eastAsia="Aptos"/>
          <w:b w:val="0"/>
          <w:i w:val="0"/>
          <w:color w:val="2B2B2B"/>
          <w:sz w:val="20"/>
        </w:rPr>
        <w:t xml:space="preserve"> O legislador não tipificou «a exploração», «o funcionamento» ou «o alojamento» — tipificou o facto de os animais lá estarem.</w:t>
      </w:r>
    </w:p>
    <w:p>
      <w:pPr>
        <w:keepNext/>
        <w:spacing w:before="200" w:after="60" w:line="293" w:lineRule="auto"/>
      </w:pPr>
      <w:r>
        <w:rPr>
          <w:rFonts w:ascii="Aptos" w:hAnsi="Aptos" w:cs="Aptos" w:eastAsia="Aptos"/>
          <w:b/>
          <w:i w:val="0"/>
          <w:color w:val="5C7891"/>
          <w:sz w:val="19"/>
        </w:rPr>
        <w:t>As duas leituras conciliam-se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783"/>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Consequência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é mais estreito do que a norma de conduta</w:t>
            </w:r>
          </w:p>
        </w:tc>
        <w:tc>
          <w:tcPr>
            <w:tcW w:type="dxa" w:w="5783"/>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Fora das habitações o artigo 3.º seria norma imperfeita, sem sanção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tipo revela o âmbito da norma de conduta</w:t>
            </w:r>
          </w:p>
        </w:tc>
        <w:tc>
          <w:tcPr>
            <w:tcW w:type="dxa" w:w="5783"/>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artigo 3.º só alcançaria habitações e terrenos anexos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conciliação está no </w:t>
            </w:r>
            <w:r>
              <w:rPr>
                <w:rFonts w:ascii="Aptos" w:hAnsi="Aptos" w:cs="Aptos" w:eastAsia="Aptos"/>
                <w:b/>
                <w:i w:val="0"/>
                <w:color w:val="2B2B2B"/>
                <w:sz w:val="20"/>
              </w:rPr>
              <w:t>n.º 5 do artigo 3.º</w:t>
            </w:r>
            <w:r>
              <w:rPr>
                <w:rFonts w:ascii="Aptos" w:hAnsi="Aptos" w:cs="Aptos" w:eastAsia="Aptos"/>
                <w:b w:val="0"/>
                <w:i w:val="0"/>
                <w:color w:val="2B2B2B"/>
                <w:sz w:val="20"/>
              </w:rPr>
              <w:t xml:space="preserve">, que dá um remédio administrativo — vistoria conjunta e notificação para remoção — </w:t>
            </w:r>
            <w:r>
              <w:rPr>
                <w:rFonts w:ascii="Aptos" w:hAnsi="Aptos" w:cs="Aptos" w:eastAsia="Aptos"/>
                <w:b/>
                <w:i w:val="0"/>
                <w:color w:val="2B2B2B"/>
                <w:sz w:val="20"/>
              </w:rPr>
              <w:t>sem o limitar a habitações</w:t>
            </w:r>
            <w:r>
              <w:rPr>
                <w:rFonts w:ascii="Aptos" w:hAnsi="Aptos" w:cs="Aptos" w:eastAsia="Aptos"/>
                <w:b w:val="0"/>
                <w:i w:val="0"/>
                <w:color w:val="2B2B2B"/>
                <w:sz w:val="20"/>
              </w:rPr>
              <w:t>. O legislador usou deliberadamente dois alcances: remédio administrativo em todo o campo da norma, coima apenas na habitação e no seu anexo. Não é lapso; é arquitetura.</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 sem atenuação.</w:t>
            </w:r>
            <w:r>
              <w:rPr>
                <w:rFonts w:ascii="Aptos" w:hAnsi="Aptos" w:cs="Aptos" w:eastAsia="Aptos"/>
                <w:b w:val="0"/>
                <w:i w:val="0"/>
                <w:color w:val="2B2B2B"/>
                <w:sz w:val="19"/>
              </w:rPr>
              <w:t xml:space="preserve"> Isto confirma que o artigo 3.º foi pensado a partir da casa, mas </w:t>
            </w:r>
            <w:r>
              <w:rPr>
                <w:rFonts w:ascii="Aptos" w:hAnsi="Aptos" w:cs="Aptos" w:eastAsia="Aptos"/>
                <w:b/>
                <w:i w:val="0"/>
                <w:color w:val="2B2B2B"/>
                <w:sz w:val="19"/>
              </w:rPr>
              <w:t>não</w:t>
            </w:r>
            <w:r>
              <w:rPr>
                <w:rFonts w:ascii="Aptos" w:hAnsi="Aptos" w:cs="Aptos" w:eastAsia="Aptos"/>
                <w:b w:val="0"/>
                <w:i w:val="0"/>
                <w:color w:val="2B2B2B"/>
                <w:sz w:val="19"/>
              </w:rPr>
              <w:t xml:space="preserve"> exclui que a norma de conduta alcance mais — como o ponto 9.1 demonstrou, ela alcança quem quer que aloje. O que a al. c) revela é onde o legislador entendeu que valia a pena punir, não onde entendeu que a norma se aplica. A consequência prática desta assimetria está tratada nos pontos 15.5 e 15.7.</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9.4  </w:t>
      </w:r>
      <w:r>
        <w:rPr>
          <w:rFonts w:ascii="Aptos" w:hAnsi="Aptos" w:cs="Aptos" w:eastAsia="Aptos"/>
          <w:b/>
          <w:i w:val="0"/>
          <w:color w:val="35506B"/>
          <w:sz w:val="21"/>
        </w:rPr>
        <w:t>Concurso de contraordenações</w:t>
      </w:r>
    </w:p>
    <w:p>
      <w:pPr>
        <w:spacing w:before="0" w:after="140" w:line="293" w:lineRule="auto"/>
        <w:jc w:val="both"/>
      </w:pPr>
      <w:r>
        <w:rPr>
          <w:rFonts w:ascii="Aptos" w:hAnsi="Aptos" w:cs="Aptos" w:eastAsia="Aptos"/>
          <w:b w:val="0"/>
          <w:i w:val="0"/>
          <w:color w:val="2B2B2B"/>
          <w:sz w:val="20"/>
        </w:rPr>
        <w:t>Havendo excesso de animais num alojamento registado, há concurso entre o artigo 14.º do Decreto-Lei n.º 314/2003 e o regime sancionatório do Decreto-Lei n.º 276/2001, ou consunção? A pergunta tem uma premissa que o ponto 9.3 já removeu.</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Num alojamento dotado das instalações individualizadas do artigo 25.º, </w:t>
            </w:r>
            <w:r>
              <w:rPr>
                <w:rFonts w:ascii="Aptos" w:hAnsi="Aptos" w:cs="Aptos" w:eastAsia="Aptos"/>
                <w:b/>
                <w:i w:val="0"/>
                <w:color w:val="2B2B2B"/>
                <w:sz w:val="20"/>
              </w:rPr>
              <w:t>não há concurso — falta um dos tipos</w:t>
            </w:r>
            <w:r>
              <w:rPr>
                <w:rFonts w:ascii="Aptos" w:hAnsi="Aptos" w:cs="Aptos" w:eastAsia="Aptos"/>
                <w:b w:val="0"/>
                <w:i w:val="0"/>
                <w:color w:val="2B2B2B"/>
                <w:sz w:val="20"/>
              </w:rPr>
              <w:t>. A al. c) do n.º 3 do artigo 14.º exige «habitações e terrenos anexos», e o alojamento não o é. A questão só vive no caso residual e, parcialmente, no prédio misto.</w:t>
            </w:r>
          </w:p>
        </w:tc>
      </w:tr>
    </w:tbl>
    <w:p>
      <w:pPr>
        <w:spacing w:before="0" w:after="180" w:line="293" w:lineRule="auto"/>
      </w:pPr>
    </w:p>
    <w:p>
      <w:pPr>
        <w:keepNext/>
        <w:spacing w:before="200" w:after="60" w:line="293" w:lineRule="auto"/>
      </w:pPr>
      <w:r>
        <w:rPr>
          <w:rFonts w:ascii="Aptos" w:hAnsi="Aptos" w:cs="Aptos" w:eastAsia="Aptos"/>
          <w:b/>
          <w:i w:val="0"/>
          <w:color w:val="5C7891"/>
          <w:sz w:val="19"/>
        </w:rPr>
        <w:t>Onde vive, a resposta é concurso efetivo</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Os bens jurídicos são distintos.</w:t>
      </w:r>
      <w:r>
        <w:rPr>
          <w:rFonts w:ascii="Aptos" w:hAnsi="Aptos" w:cs="Aptos" w:eastAsia="Aptos"/>
          <w:b w:val="0"/>
          <w:i w:val="0"/>
          <w:color w:val="2B2B2B"/>
          <w:sz w:val="20"/>
        </w:rPr>
        <w:t xml:space="preserve"> O n.º 1 do artigo 3.º protege a salubridade e a prevenção de «doenças transmissíveis ao homem»; o Decreto-Lei n.º 276/2001 protege o bem-estar animal. Não há relação de especialidade nem de consunção entre eles.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legislador soube escrever a cláusula de subsidiariedade — e não a pôs onde interessa.</w:t>
      </w:r>
      <w:r>
        <w:rPr>
          <w:rFonts w:ascii="Aptos" w:hAnsi="Aptos" w:cs="Aptos" w:eastAsia="Aptos"/>
          <w:b w:val="0"/>
          <w:i w:val="0"/>
          <w:color w:val="2B2B2B"/>
          <w:sz w:val="20"/>
        </w:rPr>
        <w:t xml:space="preserve"> O n.º 1 e o n.º 2 do artigo 14.º terminam com «salvo se sanção mais grave não lhe for aplicável por legislação especial». O n.º 3, onde está a al. c), </w:t>
      </w:r>
      <w:r>
        <w:rPr>
          <w:rFonts w:ascii="Aptos" w:hAnsi="Aptos" w:cs="Aptos" w:eastAsia="Aptos"/>
          <w:b/>
          <w:i w:val="0"/>
          <w:color w:val="2B2B2B"/>
          <w:sz w:val="20"/>
        </w:rPr>
        <w:t>não tem essa cláusula</w:t>
      </w:r>
      <w:r>
        <w:rPr>
          <w:rFonts w:ascii="Aptos" w:hAnsi="Aptos" w:cs="Aptos" w:eastAsia="Aptos"/>
          <w:b w:val="0"/>
          <w:i w:val="0"/>
          <w:color w:val="2B2B2B"/>
          <w:sz w:val="20"/>
        </w:rPr>
        <w:t>. Onde a quis, escreveu-a duas vezes; onde não a escreveu, não a quis.</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 regime do concurso é de cúmulo, não de consunção</w:t>
      </w:r>
      <w:r>
        <w:rPr>
          <w:rFonts w:ascii="Aptos" w:hAnsi="Aptos" w:cs="Aptos" w:eastAsia="Aptos"/>
          <w:b w:val="0"/>
          <w:i w:val="0"/>
          <w:color w:val="2B2B2B"/>
          <w:sz w:val="20"/>
        </w:rPr>
        <w:t>, nos termos do artigo 19.º do Regime Geral das Contra-Ordenações.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 Quem tiver praticado várias contra-ordenações é punido com uma coima cujo limite máximo resulta da soma das coimas concretamente aplicadas às infracções em concurso.</w:t>
            </w:r>
          </w:p>
          <w:p>
            <w:pPr>
              <w:spacing w:before="0" w:after="80" w:line="293" w:lineRule="auto"/>
              <w:jc w:val="both"/>
            </w:pPr>
            <w:r>
              <w:rPr>
                <w:rFonts w:ascii="Aptos" w:hAnsi="Aptos" w:cs="Aptos" w:eastAsia="Aptos"/>
                <w:b w:val="0"/>
                <w:i/>
                <w:color w:val="2B2B2B"/>
                <w:sz w:val="19"/>
              </w:rPr>
              <w:t>2 — A coima aplicável não pode exceder o dobro do limite máximo mais elevado das contra-ordenações em concurso.</w:t>
            </w:r>
          </w:p>
          <w:p>
            <w:pPr>
              <w:spacing w:before="0" w:after="0" w:line="293" w:lineRule="auto"/>
              <w:jc w:val="both"/>
            </w:pPr>
            <w:r>
              <w:rPr>
                <w:rFonts w:ascii="Aptos" w:hAnsi="Aptos" w:cs="Aptos" w:eastAsia="Aptos"/>
                <w:b w:val="0"/>
                <w:i/>
                <w:color w:val="2B2B2B"/>
                <w:sz w:val="19"/>
              </w:rPr>
              <w:t>3 — A coima a aplicar não pode ser inferior à mais elevada das coimas concretamente aplicadas às várias contra-ordenações.</w:t>
            </w:r>
          </w:p>
          <w:p>
            <w:pPr>
              <w:spacing w:before="120" w:after="0" w:line="293" w:lineRule="auto"/>
            </w:pPr>
            <w:r>
              <w:rPr>
                <w:rFonts w:ascii="Aptos" w:hAnsi="Aptos" w:cs="Aptos" w:eastAsia="Aptos"/>
                <w:b w:val="0"/>
                <w:i w:val="0"/>
                <w:color w:val="7C8894"/>
                <w:sz w:val="15"/>
              </w:rPr>
              <w:t>Artigo 19.º do Decreto-Lei n.º 433/82, na redação do Decreto-Lei n.º 244/95, de 14 de setembro, conferido no Diário da República n.º 213, I série-A, a páginas 5783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A redação originária deste artigo, publicada em 1982, dizia o contrário: «se o mesmo facto violar várias leis pelas quais deve ser punido como contra-ordenação […] aplicar-se-á uma única coima» e «aplicar-se-á a lei que comine a coima mais elevada». Foi inteiramente substituída em 1995. Quem cite o Regime Geral das Contra-Ordenações pela sua publicação originária cita norma revogada — o que confirma o corolário da regra do ponto 18.2: a consolidação serve para saber </w:t>
            </w:r>
            <w:r>
              <w:rPr>
                <w:rFonts w:ascii="Aptos" w:hAnsi="Aptos" w:cs="Aptos" w:eastAsia="Aptos"/>
                <w:b/>
                <w:i w:val="0"/>
                <w:color w:val="2B2B2B"/>
                <w:sz w:val="19"/>
              </w:rPr>
              <w:t>quais</w:t>
            </w:r>
            <w:r>
              <w:rPr>
                <w:rFonts w:ascii="Aptos" w:hAnsi="Aptos" w:cs="Aptos" w:eastAsia="Aptos"/>
                <w:b w:val="0"/>
                <w:i w:val="0"/>
                <w:color w:val="2B2B2B"/>
                <w:sz w:val="19"/>
              </w:rPr>
              <w:t xml:space="preserve"> os diários a ler, e o diário para citar.</w:t>
            </w:r>
          </w:p>
        </w:tc>
      </w:tr>
    </w:tbl>
    <w:p>
      <w:pPr>
        <w:spacing w:before="0" w:after="180" w:line="293" w:lineRule="auto"/>
      </w:pPr>
    </w:p>
    <w:p>
      <w:pPr>
        <w:keepNext/>
        <w:spacing w:before="200" w:after="60" w:line="293" w:lineRule="auto"/>
      </w:pPr>
      <w:r>
        <w:rPr>
          <w:rFonts w:ascii="Aptos" w:hAnsi="Aptos" w:cs="Aptos" w:eastAsia="Aptos"/>
          <w:b/>
          <w:i w:val="0"/>
          <w:color w:val="5C7891"/>
          <w:sz w:val="19"/>
        </w:rPr>
        <w:t>Um atrito por resolver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As contraordenações do Decreto-Lei n.º 276/2001 são </w:t>
            </w:r>
            <w:r>
              <w:rPr>
                <w:rFonts w:ascii="Aptos" w:hAnsi="Aptos" w:cs="Aptos" w:eastAsia="Aptos"/>
                <w:b/>
                <w:i w:val="0"/>
                <w:color w:val="2B2B2B"/>
                <w:sz w:val="19"/>
              </w:rPr>
              <w:t>económicas</w:t>
            </w:r>
            <w:r>
              <w:rPr>
                <w:rFonts w:ascii="Aptos" w:hAnsi="Aptos" w:cs="Aptos" w:eastAsia="Aptos"/>
                <w:b w:val="0"/>
                <w:i w:val="0"/>
                <w:color w:val="2B2B2B"/>
                <w:sz w:val="19"/>
              </w:rPr>
              <w:t>, punidas nos termos do Regime Jurídico das Contraordenações Económicas; as do Decreto-Lei n.º 314/2003 seguem o regime geral. O cúmulo entre uma contraordenação económica e uma contraordenação comum não está expressamente regulado. Fica assinalado como ponto por esclarecer.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Efeito na conclusão: neutro quanto ao alojamento registado</w:t>
            </w:r>
            <w:r>
              <w:rPr>
                <w:rFonts w:ascii="Aptos" w:hAnsi="Aptos" w:cs="Aptos" w:eastAsia="Aptos"/>
                <w:b w:val="0"/>
                <w:i w:val="0"/>
                <w:color w:val="2B2B2B"/>
                <w:sz w:val="20"/>
              </w:rPr>
              <w:t>, porque aí não há concurso por falta de tipo; e confirmatório quanto ao caso residual, onde os dois regimes incidem cumulativamente sobre o mesmo espaço. O argumento «quem admite concurso admite sobreposição» procede — mas só dentro de casa.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9.5  </w:t>
      </w:r>
      <w:r>
        <w:rPr>
          <w:rFonts w:ascii="Aptos" w:hAnsi="Aptos" w:cs="Aptos" w:eastAsia="Aptos"/>
          <w:b/>
          <w:i w:val="0"/>
          <w:color w:val="35506B"/>
          <w:sz w:val="21"/>
        </w:rPr>
        <w:t>O poder de remoção do n.º 5 do artigo 3.º</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5 - Em caso de não cumprimento do disposto nos números anteriores, as câmaras municipais, após vistoria conjunta do delegado de saúde e do médico veterinário municipal, notificam o detentor para retirar os animais para o canil ou gatil municipal no prazo estabelecido por aquelas entidades, caso o detentor não opte por outro destino que reúna as condições estabelecidas pelo presente diploma.</w:t>
            </w:r>
          </w:p>
          <w:p>
            <w:pPr>
              <w:spacing w:before="120" w:after="0" w:line="293" w:lineRule="auto"/>
            </w:pPr>
            <w:r>
              <w:rPr>
                <w:rFonts w:ascii="Aptos" w:hAnsi="Aptos" w:cs="Aptos" w:eastAsia="Aptos"/>
                <w:b w:val="0"/>
                <w:i w:val="0"/>
                <w:color w:val="7C8894"/>
                <w:sz w:val="15"/>
              </w:rPr>
              <w:t>N.º 5 do artigo 3.º do Decreto-Lei n.º 314/2003</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Sim, a câmara municipal pode notificar o titular de um alojamento registado — mas o fundamento tem de ser o n.º 1, e não o n.º 2.</w:t>
            </w:r>
            <w:r>
              <w:rPr>
                <w:rFonts w:ascii="Aptos" w:hAnsi="Aptos" w:cs="Aptos" w:eastAsia="Aptos"/>
                <w:b w:val="0"/>
                <w:i w:val="0"/>
                <w:color w:val="2B2B2B"/>
                <w:sz w:val="20"/>
              </w:rPr>
              <w:t xml:space="preserve"> O n.º 5 desencadeia-se pelo «não cumprimento do disposto nos números anteriores». O n.º 1 aplica-se a toda a gente, incluindo ao alojamento registado. O n.º 2 não tem, aí, campo operativo, por falta de fogo.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distinção não é académica: determina a fundamentação do ato. Uma notificação que invoque o excesso sobre quatro animais num alojamento registado é ilegal por erro nos pressupostos; uma que invoque a conspurcação ambiental ou o risco de doenças transmissíveis ao homem é legal, ainda que o alojamento esteja regularmente comunicado à DGAV.</w:t>
      </w:r>
    </w:p>
    <w:p>
      <w:pPr>
        <w:keepNext/>
        <w:spacing w:before="200" w:after="60" w:line="293" w:lineRule="auto"/>
      </w:pPr>
      <w:r>
        <w:rPr>
          <w:rFonts w:ascii="Aptos" w:hAnsi="Aptos" w:cs="Aptos" w:eastAsia="Aptos"/>
          <w:b/>
          <w:i w:val="0"/>
          <w:color w:val="5C7891"/>
          <w:sz w:val="19"/>
        </w:rPr>
        <w:t>A câmara não é estranha ao regime dos alojamentos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Sem prejuízo das competências atribuídas por lei a outras entidades, compete, em especial, à DGAV, aos médicos veterinários municipais, à Autoridade de Segurança Alimentar e Económica, ao ICNF, I. P., às câmaras municipais, à PM, à GNR, à PSP e, em geral, a todas as autoridades policiais assegurar a fiscalização do cumprimento das normas constantes do presente diploma.</w:t>
            </w:r>
          </w:p>
          <w:p>
            <w:pPr>
              <w:spacing w:before="120" w:after="0" w:line="293" w:lineRule="auto"/>
            </w:pPr>
            <w:r>
              <w:rPr>
                <w:rFonts w:ascii="Aptos" w:hAnsi="Aptos" w:cs="Aptos" w:eastAsia="Aptos"/>
                <w:b w:val="0"/>
                <w:i w:val="0"/>
                <w:color w:val="7C8894"/>
                <w:sz w:val="15"/>
              </w:rPr>
              <w:t>Artigo 66.º do Decreto-Lei n.º 276/2001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A objeção de que o município estaria a intrometer-se em matéria alheia improcede: o próprio diploma dos alojamentos o inclui, pelo nome, entre as entidades de fiscalização.</w:t>
      </w:r>
    </w:p>
    <w:p>
      <w:pPr>
        <w:keepNext/>
        <w:spacing w:before="200" w:after="60" w:line="293" w:lineRule="auto"/>
      </w:pPr>
      <w:r>
        <w:rPr>
          <w:rFonts w:ascii="Aptos" w:hAnsi="Aptos" w:cs="Aptos" w:eastAsia="Aptos"/>
          <w:b/>
          <w:i w:val="0"/>
          <w:color w:val="5C7891"/>
          <w:sz w:val="19"/>
        </w:rPr>
        <w:t>Dois limites formais e uma lacuna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Vistoria conjunta prévia.</w:t>
      </w:r>
      <w:r>
        <w:rPr>
          <w:rFonts w:ascii="Aptos" w:hAnsi="Aptos" w:cs="Aptos" w:eastAsia="Aptos"/>
          <w:b w:val="0"/>
          <w:i w:val="0"/>
          <w:color w:val="2B2B2B"/>
          <w:sz w:val="20"/>
        </w:rPr>
        <w:t xml:space="preserve"> A notificação sem vistoria do delegado de saúde </w:t>
      </w:r>
      <w:r>
        <w:rPr>
          <w:rFonts w:ascii="Aptos" w:hAnsi="Aptos" w:cs="Aptos" w:eastAsia="Aptos"/>
          <w:b/>
          <w:i w:val="0"/>
          <w:color w:val="2B2B2B"/>
          <w:sz w:val="20"/>
        </w:rPr>
        <w:t>e</w:t>
      </w:r>
      <w:r>
        <w:rPr>
          <w:rFonts w:ascii="Aptos" w:hAnsi="Aptos" w:cs="Aptos" w:eastAsia="Aptos"/>
          <w:b w:val="0"/>
          <w:i w:val="0"/>
          <w:color w:val="2B2B2B"/>
          <w:sz w:val="20"/>
        </w:rPr>
        <w:t xml:space="preserve"> do médico veterinário municipal é ato preterido de formalidade essencial.</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Opção do detentor.</w:t>
      </w:r>
      <w:r>
        <w:rPr>
          <w:rFonts w:ascii="Aptos" w:hAnsi="Aptos" w:cs="Aptos" w:eastAsia="Aptos"/>
          <w:b w:val="0"/>
          <w:i w:val="0"/>
          <w:color w:val="2B2B2B"/>
          <w:sz w:val="20"/>
        </w:rPr>
        <w:t xml:space="preserve"> A remoção não é para o canil municipal por imposição: o detentor pode optar «por outro destino que reúna as condições estabelecidas pelo presente diploma». É medida de polícia sanitária, não apreensão.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Lacuna de articulação.</w:t>
      </w:r>
      <w:r>
        <w:rPr>
          <w:rFonts w:ascii="Aptos" w:hAnsi="Aptos" w:cs="Aptos" w:eastAsia="Aptos"/>
          <w:b w:val="0"/>
          <w:i w:val="0"/>
          <w:color w:val="2B2B2B"/>
          <w:sz w:val="20"/>
        </w:rPr>
        <w:t xml:space="preserve"> Nada obriga a câmara a articular-se com a DGAV antes de mandar retirar animais de um estabelecimento comunicado, nem a DGAV a informar a câmara de que o estabelecimento existe. Duas autoridades podem agir sobre a mesma instalação sem norma de coordenação — o que confirma, deste lado, o que o ponto 6.4 observara.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Efeito na conclusão.</w:t>
            </w:r>
            <w:r>
              <w:rPr>
                <w:rFonts w:ascii="Aptos" w:hAnsi="Aptos" w:cs="Aptos" w:eastAsia="Aptos"/>
                <w:b w:val="0"/>
                <w:i w:val="0"/>
                <w:color w:val="2B2B2B"/>
                <w:sz w:val="19"/>
              </w:rPr>
              <w:t xml:space="preserve"> A questão 8 era a que poderia esvaziar a tese na prática, e não a esvazia: o poder existe, mas com fundamento diferente daquele que a leitura contrária lhe daria. A tese mantém-se, e ganha em precisão — o que muda não é se a câmara pode agir, é </w:t>
            </w:r>
            <w:r>
              <w:rPr>
                <w:rFonts w:ascii="Aptos" w:hAnsi="Aptos" w:cs="Aptos" w:eastAsia="Aptos"/>
                <w:b/>
                <w:i w:val="0"/>
                <w:color w:val="2B2B2B"/>
                <w:sz w:val="19"/>
              </w:rPr>
              <w:t>com que fundamento</w:t>
            </w:r>
            <w:r>
              <w:rPr>
                <w:rFonts w:ascii="Aptos" w:hAnsi="Aptos" w:cs="Aptos" w:eastAsia="Aptos"/>
                <w:b w:val="0"/>
                <w:i w:val="0"/>
                <w:color w:val="2B2B2B"/>
                <w:sz w:val="19"/>
              </w:rPr>
              <w:t>.</w:t>
            </w:r>
          </w:p>
        </w:tc>
      </w:tr>
    </w:tbl>
    <w:p>
      <w:pPr>
        <w:spacing w:before="0" w:after="180" w:line="293" w:lineRule="auto"/>
      </w:pPr>
    </w:p>
    <w:p>
      <w:pPr>
        <w:keepNext/>
        <w:spacing w:before="200" w:after="60" w:line="293" w:lineRule="auto"/>
      </w:pPr>
      <w:r>
        <w:rPr>
          <w:rFonts w:ascii="Aptos" w:hAnsi="Aptos" w:cs="Aptos" w:eastAsia="Aptos"/>
          <w:b/>
          <w:i w:val="0"/>
          <w:color w:val="5C7891"/>
          <w:sz w:val="19"/>
        </w:rPr>
        <w:t>O caso de Santo Tirso</w:t>
      </w:r>
    </w:p>
    <w:p>
      <w:pPr>
        <w:spacing w:before="0" w:after="140" w:line="293" w:lineRule="auto"/>
        <w:jc w:val="both"/>
      </w:pPr>
      <w:r>
        <w:rPr>
          <w:rFonts w:ascii="Aptos" w:hAnsi="Aptos" w:cs="Aptos" w:eastAsia="Aptos"/>
          <w:b w:val="0"/>
          <w:i w:val="0"/>
          <w:color w:val="2B2B2B"/>
          <w:sz w:val="20"/>
        </w:rPr>
        <w:t>O ponto tem um caso real recente, e é preciso confrontá-lo com a resposta dada, sob pena de esta valer apenas no papel.</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4706"/>
        <w:gridCol w:w="4706"/>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Data</w:t>
            </w:r>
          </w:p>
        </w:tc>
        <w:tc>
          <w:tcPr>
            <w:tcW w:type="dxa" w:w="793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Facto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2012</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 </w:t>
            </w:r>
            <w:r>
              <w:rPr>
                <w:rFonts w:ascii="Aptos" w:hAnsi="Aptos" w:cs="Aptos" w:eastAsia="Aptos"/>
                <w:b/>
                <w:i w:val="0"/>
                <w:color w:val="2B2B2B"/>
                <w:sz w:val="17"/>
              </w:rPr>
              <w:t>DGAV</w:t>
            </w:r>
            <w:r>
              <w:rPr>
                <w:rFonts w:ascii="Aptos" w:hAnsi="Aptos" w:cs="Aptos" w:eastAsia="Aptos"/>
                <w:b w:val="0"/>
                <w:i w:val="0"/>
                <w:color w:val="2B2B2B"/>
                <w:sz w:val="17"/>
              </w:rPr>
              <w:t xml:space="preserve"> emite despacho pedindo à câmara municipal de Santo Tirso diligências para </w:t>
            </w:r>
            <w:r>
              <w:rPr>
                <w:rFonts w:ascii="Aptos" w:hAnsi="Aptos" w:cs="Aptos" w:eastAsia="Aptos"/>
                <w:b/>
                <w:i w:val="0"/>
                <w:color w:val="2B2B2B"/>
                <w:sz w:val="17"/>
              </w:rPr>
              <w:t>retirar os animais</w:t>
            </w:r>
            <w:r>
              <w:rPr>
                <w:rFonts w:ascii="Aptos" w:hAnsi="Aptos" w:cs="Aptos" w:eastAsia="Aptos"/>
                <w:b w:val="0"/>
                <w:i w:val="0"/>
                <w:color w:val="2B2B2B"/>
                <w:sz w:val="17"/>
              </w:rPr>
              <w:t xml:space="preserve"> do abrigo «Cantinho das Quatro Patas»</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2018</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 câmara obtém parecer jurídico externo que conclui que «as câmaras não têm competência para encerrar abrigos de animais»</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18.7.2020</w:t>
            </w:r>
          </w:p>
        </w:tc>
        <w:tc>
          <w:tcPr>
            <w:tcW w:type="dxa" w:w="793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Incêndio na Serra da Agrela; morrem 93 animais em dois abrigos — «Cantinho das 4 Patas» e «Abrigo de Paredes» —, </w:t>
            </w:r>
            <w:r>
              <w:rPr>
                <w:rFonts w:ascii="Aptos" w:hAnsi="Aptos" w:cs="Aptos" w:eastAsia="Aptos"/>
                <w:b/>
                <w:i w:val="0"/>
                <w:color w:val="2B2B2B"/>
                <w:sz w:val="17"/>
              </w:rPr>
              <w:t>sem qualquer registo na DGAV</w:t>
            </w:r>
            <w:r>
              <w:rPr>
                <w:rFonts w:ascii="Aptos" w:hAnsi="Aptos" w:cs="Aptos" w:eastAsia="Aptos"/>
                <w:b w:val="0"/>
                <w:i w:val="0"/>
                <w:color w:val="2B2B2B"/>
                <w:sz w:val="17"/>
              </w:rPr>
              <w:t>, já antes objeto de vistorias conjuntas e de processos de contraordenação</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9.9.2026</w:t>
            </w:r>
          </w:p>
        </w:tc>
        <w:tc>
          <w:tcPr>
            <w:tcW w:type="dxa" w:w="793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Tribunal de Matosinhos absolve os cinco arguidos, entre eles a antiga coordenadora da Proteção Civil e o ex-veterinário municipal, de mais de 230 crimes. O coletivo consigna que nenhum dos dois tinha poderes para ordenar a evacuação forçada dos espaços privados na noite do incêndio</w:t>
            </w:r>
          </w:p>
        </w:tc>
      </w:tr>
    </w:tbl>
    <w:p>
      <w:pPr>
        <w:spacing w:before="40" w:after="180" w:line="293" w:lineRule="auto"/>
      </w:pPr>
    </w:p>
    <w:p>
      <w:pPr>
        <w:keepNext/>
        <w:spacing w:before="200" w:after="60" w:line="293" w:lineRule="auto"/>
      </w:pPr>
      <w:r>
        <w:rPr>
          <w:rFonts w:ascii="Aptos" w:hAnsi="Aptos" w:cs="Aptos" w:eastAsia="Aptos"/>
          <w:b/>
          <w:i w:val="0"/>
          <w:color w:val="5C7891"/>
          <w:sz w:val="19"/>
        </w:rPr>
        <w:t>O que o caso não decide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Respeita a dois titulares de cargos, não à câmara municipal.</w:t>
      </w:r>
      <w:r>
        <w:rPr>
          <w:rFonts w:ascii="Aptos" w:hAnsi="Aptos" w:cs="Aptos" w:eastAsia="Aptos"/>
          <w:b w:val="0"/>
          <w:i w:val="0"/>
          <w:color w:val="2B2B2B"/>
          <w:sz w:val="20"/>
        </w:rPr>
        <w:t xml:space="preserve"> O n.º 5 do artigo 3.º confere o poder «às câmaras municipais», e exige vistoria conjunta prévia: é ato do órgão colegial, precedido de procedimento. O médico veterinário municipal e a coordenadora da Proteção Civil não são a câmara.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Respeita a uma evacuação forçada na noite de um incêndio</w:t>
      </w:r>
      <w:r>
        <w:rPr>
          <w:rFonts w:ascii="Aptos" w:hAnsi="Aptos" w:cs="Aptos" w:eastAsia="Aptos"/>
          <w:b w:val="0"/>
          <w:i w:val="0"/>
          <w:color w:val="2B2B2B"/>
          <w:sz w:val="20"/>
        </w:rPr>
        <w:t xml:space="preserve"> — medida de emergência de proteção civil —, e não à notificação para remoção do n.º 5, que é ato de polícia sanitária com procedimento próprio e prazo fixado.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Encerrar não é retirar.</w:t>
      </w:r>
      <w:r>
        <w:rPr>
          <w:rFonts w:ascii="Aptos" w:hAnsi="Aptos" w:cs="Aptos" w:eastAsia="Aptos"/>
          <w:b w:val="0"/>
          <w:i w:val="0"/>
          <w:color w:val="2B2B2B"/>
          <w:sz w:val="20"/>
        </w:rPr>
        <w:t xml:space="preserve"> O parecer de 2018 concluiu que as câmaras não podem </w:t>
      </w:r>
      <w:r>
        <w:rPr>
          <w:rFonts w:ascii="Aptos" w:hAnsi="Aptos" w:cs="Aptos" w:eastAsia="Aptos"/>
          <w:b/>
          <w:i w:val="0"/>
          <w:color w:val="2B2B2B"/>
          <w:sz w:val="20"/>
        </w:rPr>
        <w:t>encerrar</w:t>
      </w:r>
      <w:r>
        <w:rPr>
          <w:rFonts w:ascii="Aptos" w:hAnsi="Aptos" w:cs="Aptos" w:eastAsia="Aptos"/>
          <w:b w:val="0"/>
          <w:i w:val="0"/>
          <w:color w:val="2B2B2B"/>
          <w:sz w:val="20"/>
        </w:rPr>
        <w:t>, e está certo: o encerramento de estabelecimento é sanção acessória do artigo 69.º do Decreto-Lei n.º 276/2001, aplicada pelo diretor-geral nos termos do artigo 70.º. Este estudo nunca afirmou o contrário.</w:t>
      </w:r>
    </w:p>
    <w:p>
      <w:pPr>
        <w:keepNext/>
        <w:spacing w:before="200" w:after="60" w:line="293" w:lineRule="auto"/>
      </w:pPr>
      <w:r>
        <w:rPr>
          <w:rFonts w:ascii="Aptos" w:hAnsi="Aptos" w:cs="Aptos" w:eastAsia="Aptos"/>
          <w:b/>
          <w:i w:val="0"/>
          <w:color w:val="5C7891"/>
          <w:sz w:val="19"/>
        </w:rPr>
        <w:t>O que o caso confirma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A articulação real vai no sentido aqui sustentado.</w:t>
      </w:r>
      <w:r>
        <w:rPr>
          <w:rFonts w:ascii="Aptos" w:hAnsi="Aptos" w:cs="Aptos" w:eastAsia="Aptos"/>
          <w:b w:val="0"/>
          <w:i w:val="0"/>
          <w:color w:val="2B2B2B"/>
          <w:sz w:val="20"/>
        </w:rPr>
        <w:t xml:space="preserve"> Em 2012 foi a DGAV a pedir à câmara que retirasse os animais. A prática da própria autoridade sanitária reconhece que o poder de remoção é municipal — isto é, o n.º 5.</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E confirma, com factos, a inibição descrita no ponto 15.7.</w:t>
      </w:r>
      <w:r>
        <w:rPr>
          <w:rFonts w:ascii="Aptos" w:hAnsi="Aptos" w:cs="Aptos" w:eastAsia="Aptos"/>
          <w:b w:val="0"/>
          <w:i w:val="0"/>
          <w:color w:val="2B2B2B"/>
          <w:sz w:val="20"/>
        </w:rPr>
        <w:t xml:space="preserve"> Abrigos não registados em zona rural, com vistorias feitas e contraordenações instauradas, e animais que ali permaneceram até morrerem. O sistema reativo não impediu nada.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Advertência de fonte.</w:t>
            </w:r>
            <w:r>
              <w:rPr>
                <w:rFonts w:ascii="Aptos" w:hAnsi="Aptos" w:cs="Aptos" w:eastAsia="Aptos"/>
                <w:b w:val="0"/>
                <w:i w:val="0"/>
                <w:color w:val="2B2B2B"/>
                <w:sz w:val="19"/>
              </w:rPr>
              <w:t xml:space="preserve"> Não se leu a decisão. O que antecede resulta de notícias sobre a leitura oral do acórdão, e trata-se de absolvição em primeira instância, suscetível de recurso. </w:t>
            </w:r>
            <w:r>
              <w:rPr>
                <w:rFonts w:ascii="Aptos" w:hAnsi="Aptos" w:cs="Aptos" w:eastAsia="Aptos"/>
                <w:b/>
                <w:i w:val="0"/>
                <w:color w:val="2B2B2B"/>
                <w:sz w:val="19"/>
              </w:rPr>
              <w:t>Obter o texto da decisão é a diligência mais útil que este estudo tem pendente</w:t>
            </w:r>
            <w:r>
              <w:rPr>
                <w:rFonts w:ascii="Aptos" w:hAnsi="Aptos" w:cs="Aptos" w:eastAsia="Aptos"/>
                <w:b w:val="0"/>
                <w:i w:val="0"/>
                <w:color w:val="2B2B2B"/>
                <w:sz w:val="19"/>
              </w:rPr>
              <w:t>, e só depois dela se poderá afirmar com segurança o que o tribunal decidiu quanto a competências.</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caso ilustra o custo da tese contrária tanto quanto o da tese aqui sustentada: se a câmara entende não ter poderes e a DGAV depende da câmara para executar, o sistema não protege ninguém. É argumento de política legislativa, não de interpretação — mas é o argumento mais forte a favor de uma revisão que atribua expressamente a competência e os meios.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9.6  </w:t>
      </w:r>
      <w:r>
        <w:rPr>
          <w:rFonts w:ascii="Aptos" w:hAnsi="Aptos" w:cs="Aptos" w:eastAsia="Aptos"/>
          <w:b/>
          <w:i w:val="0"/>
          <w:color w:val="35506B"/>
          <w:sz w:val="21"/>
        </w:rPr>
        <w:t>Especialidade ou posterioridade</w:t>
      </w:r>
    </w:p>
    <w:p>
      <w:pPr>
        <w:spacing w:before="0" w:after="140" w:line="293" w:lineRule="auto"/>
        <w:jc w:val="both"/>
      </w:pPr>
      <w:r>
        <w:rPr>
          <w:rFonts w:ascii="Aptos" w:hAnsi="Aptos" w:cs="Aptos" w:eastAsia="Aptos"/>
          <w:b w:val="0"/>
          <w:i w:val="0"/>
          <w:color w:val="2B2B2B"/>
          <w:sz w:val="20"/>
        </w:rPr>
        <w:t>A última questão só se põe a quem sustente que há conflito entre os dois diplomas. Este estudo sustenta que não há — os campos não se sobrepõem quanto aos números. Ainda assim, importa mostrar que, mesmo concedendo a premissa, nenhum dos dois critérios resolve a favor da tese contrária.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1. Quando se não destine a ter vigência temporária, a lei só deixa de vigorar se for revogada por outra lei.</w:t>
            </w:r>
          </w:p>
          <w:p>
            <w:pPr>
              <w:spacing w:before="0" w:after="0" w:line="293" w:lineRule="auto"/>
              <w:jc w:val="both"/>
            </w:pPr>
            <w:r>
              <w:rPr>
                <w:rFonts w:ascii="Aptos" w:hAnsi="Aptos" w:cs="Aptos" w:eastAsia="Aptos"/>
                <w:b w:val="0"/>
                <w:i/>
                <w:color w:val="2B2B2B"/>
                <w:sz w:val="19"/>
              </w:rPr>
              <w:t>3. A lei geral não revoga a lei especial, excepto se outra for a intenção inequívoca do legislador.</w:t>
            </w:r>
          </w:p>
          <w:p>
            <w:pPr>
              <w:spacing w:before="120" w:after="0" w:line="293" w:lineRule="auto"/>
            </w:pPr>
            <w:r>
              <w:rPr>
                <w:rFonts w:ascii="Aptos" w:hAnsi="Aptos" w:cs="Aptos" w:eastAsia="Aptos"/>
                <w:b w:val="0"/>
                <w:i w:val="0"/>
                <w:color w:val="7C8894"/>
                <w:sz w:val="15"/>
              </w:rPr>
              <w:t>N.ºs 1 e 3 do artigo 7.º do Código Civil, conferidos no Diário do Governo n.º 274, I série, de 25 de novembro de 1966, a páginas 1886</w:t>
            </w:r>
          </w:p>
        </w:tc>
      </w:tr>
    </w:tbl>
    <w:p>
      <w:pPr>
        <w:spacing w:before="0" w:after="180" w:line="293" w:lineRule="auto"/>
      </w:pP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posterioridade não favorece o Decreto-Lei n.º 314/2003, ao contrário do que parece.</w:t>
      </w:r>
      <w:r>
        <w:rPr>
          <w:rFonts w:ascii="Aptos" w:hAnsi="Aptos" w:cs="Aptos" w:eastAsia="Aptos"/>
          <w:b w:val="0"/>
          <w:i w:val="0"/>
          <w:color w:val="2B2B2B"/>
          <w:sz w:val="20"/>
        </w:rPr>
        <w:t xml:space="preserve"> É certo que é de 17 de dezembro de 2003 e o Decreto-Lei n.º 276/2001 é de 17 de outubro de 2001. Mas o artigo 3.º do primeiro </w:t>
      </w:r>
      <w:r>
        <w:rPr>
          <w:rFonts w:ascii="Aptos" w:hAnsi="Aptos" w:cs="Aptos" w:eastAsia="Aptos"/>
          <w:b/>
          <w:i w:val="0"/>
          <w:color w:val="2B2B2B"/>
          <w:sz w:val="20"/>
        </w:rPr>
        <w:t>nunca foi alterado</w:t>
      </w:r>
      <w:r>
        <w:rPr>
          <w:rFonts w:ascii="Aptos" w:hAnsi="Aptos" w:cs="Aptos" w:eastAsia="Aptos"/>
          <w:b w:val="0"/>
          <w:i w:val="0"/>
          <w:color w:val="2B2B2B"/>
          <w:sz w:val="20"/>
        </w:rPr>
        <w:t xml:space="preserve">, ao passo que o segundo foi revisto em 2003, 2007, 2012, 2017, 2019 e 2021. Confrontados os textos </w:t>
      </w:r>
      <w:r>
        <w:rPr>
          <w:rFonts w:ascii="Aptos" w:hAnsi="Aptos" w:cs="Aptos" w:eastAsia="Aptos"/>
          <w:b/>
          <w:i w:val="0"/>
          <w:color w:val="2B2B2B"/>
          <w:sz w:val="20"/>
        </w:rPr>
        <w:t>em vigor</w:t>
      </w:r>
      <w:r>
        <w:rPr>
          <w:rFonts w:ascii="Aptos" w:hAnsi="Aptos" w:cs="Aptos" w:eastAsia="Aptos"/>
          <w:b w:val="0"/>
          <w:i w:val="0"/>
          <w:color w:val="2B2B2B"/>
          <w:sz w:val="20"/>
        </w:rPr>
        <w:t>, o mais recente é o do diploma dos alojamentos.</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 especialidade não resolve, porque os diplomas são especiais em planos diferentes.</w:t>
      </w:r>
      <w:r>
        <w:rPr>
          <w:rFonts w:ascii="Aptos" w:hAnsi="Aptos" w:cs="Aptos" w:eastAsia="Aptos"/>
          <w:b w:val="0"/>
          <w:i w:val="0"/>
          <w:color w:val="2B2B2B"/>
          <w:sz w:val="20"/>
        </w:rPr>
        <w:t xml:space="preserve"> O Decreto-Lei n.º 276/2001 é especial quanto à atividade de exploração de alojamentos; o Decreto-Lei n.º 314/2003 é especial quanto à polícia sanitária. O n.º 3 do artigo 7.º do Código Civil pressupõe uma relação de género e espécie que aqui não existe.</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E nenhum deles revogou o outro.</w:t>
      </w:r>
      <w:r>
        <w:rPr>
          <w:rFonts w:ascii="Aptos" w:hAnsi="Aptos" w:cs="Aptos" w:eastAsia="Aptos"/>
          <w:b w:val="0"/>
          <w:i w:val="0"/>
          <w:color w:val="2B2B2B"/>
          <w:sz w:val="20"/>
        </w:rPr>
        <w:t xml:space="preserve"> Nos termos do n.º 1 do artigo 7.º do Código Civil, a lei só deixa de vigorar se for revogada; nenhum dos dois o fez, nem expressa nem tacitamente, quanto a esta matéria.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instrumento correto não é a revogação, é a </w:t>
            </w:r>
            <w:r>
              <w:rPr>
                <w:rFonts w:ascii="Aptos" w:hAnsi="Aptos" w:cs="Aptos" w:eastAsia="Aptos"/>
                <w:b/>
                <w:i w:val="0"/>
                <w:color w:val="2B2B2B"/>
                <w:sz w:val="20"/>
              </w:rPr>
              <w:t>delimitação de âmbito</w:t>
            </w:r>
            <w:r>
              <w:rPr>
                <w:rFonts w:ascii="Aptos" w:hAnsi="Aptos" w:cs="Aptos" w:eastAsia="Aptos"/>
                <w:b w:val="0"/>
                <w:i w:val="0"/>
                <w:color w:val="2B2B2B"/>
                <w:sz w:val="20"/>
              </w:rPr>
              <w:t xml:space="preserve">. Os critérios do artigo 7.º do Código Civil servem para escolher entre normas incompatíveis; não servem para decidir se duas normas são incompatíveis. </w:t>
            </w:r>
            <w:r>
              <w:rPr>
                <w:rFonts w:ascii="Aptos" w:hAnsi="Aptos" w:cs="Aptos" w:eastAsia="Aptos"/>
                <w:b/>
                <w:i w:val="0"/>
                <w:color w:val="2B2B2B"/>
                <w:sz w:val="20"/>
              </w:rPr>
              <w:t>Efeito na conclusão: neutro</w:t>
            </w:r>
            <w:r>
              <w:rPr>
                <w:rFonts w:ascii="Aptos" w:hAnsi="Aptos" w:cs="Aptos" w:eastAsia="Aptos"/>
                <w:b w:val="0"/>
                <w:i w:val="0"/>
                <w:color w:val="2B2B2B"/>
                <w:sz w:val="20"/>
              </w:rPr>
              <w:t xml:space="preserve"> — e, se alguma coisa, o critério cronológico, bem aplicado, milita contra a tese da sobreposição.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9.7  </w:t>
      </w:r>
      <w:r>
        <w:rPr>
          <w:rFonts w:ascii="Aptos" w:hAnsi="Aptos" w:cs="Aptos" w:eastAsia="Aptos"/>
          <w:b/>
          <w:i w:val="0"/>
          <w:color w:val="35506B"/>
          <w:sz w:val="21"/>
        </w:rPr>
        <w:t>O peso das duas séries de elementos</w:t>
      </w:r>
    </w:p>
    <w:p>
      <w:pPr>
        <w:spacing w:before="0" w:after="140" w:line="293" w:lineRule="auto"/>
        <w:jc w:val="both"/>
      </w:pPr>
      <w:r>
        <w:rPr>
          <w:rFonts w:ascii="Aptos" w:hAnsi="Aptos" w:cs="Aptos" w:eastAsia="Aptos"/>
          <w:b w:val="0"/>
          <w:i w:val="0"/>
          <w:color w:val="2B2B2B"/>
          <w:sz w:val="20"/>
        </w:rPr>
        <w:t>Os elementos do ponto 6 provam que os dois diplomas se tocam: partilham o conceito de detentor, partilham o vocábulo alojamento, e o artigo 3.º é efetivamente aplicável a quem cria. Não provam, porém, aquilo que seria necessário para a tese da sobreposição — que os números do artigo 3.º operem como limite de lotação de um estabelecimento titulado.</w:t>
      </w:r>
    </w:p>
    <w:p>
      <w:pPr>
        <w:spacing w:before="0" w:after="140" w:line="293" w:lineRule="auto"/>
        <w:jc w:val="both"/>
      </w:pPr>
      <w:r>
        <w:rPr>
          <w:rFonts w:ascii="Aptos" w:hAnsi="Aptos" w:cs="Aptos" w:eastAsia="Aptos"/>
          <w:b w:val="0"/>
          <w:i w:val="0"/>
          <w:color w:val="2B2B2B"/>
          <w:sz w:val="20"/>
        </w:rPr>
        <w:t>Os elementos do ponto 7 provam que o artigo 3.º não foi construído como norma de acesso a atividade: não tipifica o exercício sem título, não fixa lotação de estabelecimento, é executado por autoridades diferentes e convive com um regime de capacidade completo no diploma dos alojamentos. Não provam, porém, que o artigo 3.º deixe de se aplicar a quem cria.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As duas séries são compatíveis, e a incompatibilidade só surge se se insistir em formular a questão como exclusão recíproca. </w:t>
            </w:r>
            <w:r>
              <w:rPr>
                <w:rFonts w:ascii="Aptos" w:hAnsi="Aptos" w:cs="Aptos" w:eastAsia="Aptos"/>
                <w:b/>
                <w:i w:val="0"/>
                <w:color w:val="2B2B2B"/>
                <w:sz w:val="20"/>
              </w:rPr>
              <w:t>Os regimes são cumulativos.</w:t>
            </w:r>
            <w:r>
              <w:rPr>
                <w:rFonts w:ascii="Aptos" w:hAnsi="Aptos" w:cs="Aptos" w:eastAsia="Aptos"/>
                <w:b w:val="0"/>
                <w:i w:val="0"/>
                <w:color w:val="2B2B2B"/>
                <w:sz w:val="20"/>
              </w:rPr>
              <w:t xml:space="preserve"> Quem cria na sua habitação é, simultaneamente, detentor para efeitos sanitários e operador para efeitos do diploma dos alojamentos. Cumular não é sobrepor: nenhum dos regimes fixa o limiar do outro.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10.  </w:t>
      </w:r>
      <w:r>
        <w:rPr>
          <w:rFonts w:ascii="Aptos" w:hAnsi="Aptos" w:cs="Aptos" w:eastAsia="Aptos"/>
          <w:b/>
          <w:i w:val="0"/>
          <w:color w:val="35506B"/>
          <w:sz w:val="27"/>
        </w:rPr>
        <w:t>Aplicação a casos-tipo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Assente a cumulação, o critério deixa de ser a classificação matricial e passa a ser </w:t>
      </w:r>
      <w:r>
        <w:rPr>
          <w:rFonts w:ascii="Aptos" w:hAnsi="Aptos" w:cs="Aptos" w:eastAsia="Aptos"/>
          <w:b/>
          <w:i w:val="0"/>
          <w:color w:val="2B2B2B"/>
          <w:sz w:val="20"/>
        </w:rPr>
        <w:t>onde estão os animais</w:t>
      </w:r>
      <w:r>
        <w:rPr>
          <w:rFonts w:ascii="Aptos" w:hAnsi="Aptos" w:cs="Aptos" w:eastAsia="Aptos"/>
          <w:b w:val="0"/>
          <w:i w:val="0"/>
          <w:color w:val="2B2B2B"/>
          <w:sz w:val="20"/>
        </w:rPr>
        <w:t>.</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835"/>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Situação de facto</w:t>
            </w:r>
          </w:p>
        </w:tc>
        <w:tc>
          <w:tcPr>
            <w:tcW w:type="dxa" w:w="226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Enquadramento</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Limite aplicável</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a viver dentro da casa, como animais do agregado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fogo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2 aplica-se</w:t>
            </w:r>
            <w:r>
              <w:rPr>
                <w:rFonts w:ascii="Aptos" w:hAnsi="Aptos" w:cs="Aptos" w:eastAsia="Aptos"/>
                <w:b w:val="0"/>
                <w:i w:val="0"/>
                <w:color w:val="2B2B2B"/>
                <w:sz w:val="17"/>
              </w:rPr>
              <w:t>: quatro animais; até seis mediante parecer vinculativo do médico veterinário municipal e do delegado de saúde</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Moradia em prédio urbano; animais em instalações do artigo 25.º construídas no quintal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Estão no </w:t>
            </w:r>
            <w:r>
              <w:rPr>
                <w:rFonts w:ascii="Aptos" w:hAnsi="Aptos" w:cs="Aptos" w:eastAsia="Aptos"/>
                <w:b/>
                <w:i w:val="0"/>
                <w:color w:val="2B2B2B"/>
                <w:sz w:val="17"/>
              </w:rPr>
              <w:t>alojamento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O n.º 2 </w:t>
            </w:r>
            <w:r>
              <w:rPr>
                <w:rFonts w:ascii="Aptos" w:hAnsi="Aptos" w:cs="Aptos" w:eastAsia="Aptos"/>
                <w:b/>
                <w:i w:val="0"/>
                <w:color w:val="2B2B2B"/>
                <w:sz w:val="17"/>
              </w:rPr>
              <w:t>não</w:t>
            </w:r>
            <w:r>
              <w:rPr>
                <w:rFonts w:ascii="Aptos" w:hAnsi="Aptos" w:cs="Aptos" w:eastAsia="Aptos"/>
                <w:b w:val="0"/>
                <w:i w:val="0"/>
                <w:color w:val="2B2B2B"/>
                <w:sz w:val="17"/>
              </w:rPr>
              <w:t xml:space="preserve"> fixa a lotação; fixam-na a capacidade declarada e o anexo III</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Prédio rústico ou misto, com ou sem estabelecimento</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Sem teto</w:t>
            </w:r>
            <w:r>
              <w:rPr>
                <w:rFonts w:ascii="Aptos" w:hAnsi="Aptos" w:cs="Aptos" w:eastAsia="Aptos"/>
                <w:b w:val="0"/>
                <w:i w:val="0"/>
                <w:color w:val="2B2B2B"/>
                <w:sz w:val="17"/>
              </w:rPr>
              <w:t>: seis animais, excedíveis se a dimensão do terreno o permitir</w:t>
            </w:r>
          </w:p>
        </w:tc>
      </w:tr>
      <w:tr>
        <w:trPr>
          <w:cantSplit/>
        </w:trPr>
        <w:tc>
          <w:tcPr>
            <w:tcW w:type="dxa" w:w="2835"/>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Fracção autónoma em propriedade horizontal</w:t>
            </w:r>
          </w:p>
        </w:tc>
        <w:tc>
          <w:tcPr>
            <w:tcW w:type="dxa" w:w="226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Acresce o n.º 3 do artigo 3.º e o regime da propriedade horizontal</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Hipótese </w:t>
            </w:r>
            <w:r>
              <w:rPr>
                <w:rFonts w:ascii="Aptos" w:hAnsi="Aptos" w:cs="Aptos" w:eastAsia="Aptos"/>
                <w:b/>
                <w:i w:val="0"/>
                <w:color w:val="2B2B2B"/>
                <w:sz w:val="17"/>
              </w:rPr>
              <w:t>não analisada</w:t>
            </w:r>
            <w:r>
              <w:rPr>
                <w:rFonts w:ascii="Aptos" w:hAnsi="Aptos" w:cs="Aptos" w:eastAsia="Aptos"/>
                <w:b w:val="0"/>
                <w:i w:val="0"/>
                <w:color w:val="2B2B2B"/>
                <w:sz w:val="17"/>
              </w:rPr>
              <w:t xml:space="preserve"> neste estudo — ver ponto 17</w:t>
            </w:r>
          </w:p>
        </w:tc>
      </w:tr>
      <w:tr>
        <w:trPr>
          <w:cantSplit/>
        </w:trPr>
        <w:tc>
          <w:tcPr>
            <w:tcW w:type="dxa" w:w="2835"/>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Qualquer das anteriores</w:t>
            </w:r>
          </w:p>
        </w:tc>
        <w:tc>
          <w:tcPr>
            <w:tcW w:type="dxa" w:w="226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N.º 1 aplica-se sempre</w:t>
            </w:r>
            <w:r>
              <w:rPr>
                <w:rFonts w:ascii="Aptos" w:hAnsi="Aptos" w:cs="Aptos" w:eastAsia="Aptos"/>
                <w:b w:val="0"/>
                <w:i w:val="0"/>
                <w:color w:val="2B2B2B"/>
                <w:sz w:val="17"/>
              </w:rPr>
              <w:t>: boas condições e ausência de riscos hígio-sanitários</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 não converte o conjunto em prédio misto, pelo que a área do quintal é juridicamente irrelevante para o n.º 2. O ponto 15.4 desenvolve-o.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11.  </w:t>
      </w:r>
      <w:r>
        <w:rPr>
          <w:rFonts w:ascii="Aptos" w:hAnsi="Aptos" w:cs="Aptos" w:eastAsia="Aptos"/>
          <w:b/>
          <w:i w:val="0"/>
          <w:color w:val="35506B"/>
          <w:sz w:val="27"/>
        </w:rPr>
        <w:t>Jurisprudência</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Nenhuma decisão resolve a questão. Três aproximam-se, e a terceira contraria a doutrina que adiante se cita.</w:t>
      </w:r>
    </w:p>
    <w:p>
      <w:pPr>
        <w:keepNext/>
        <w:spacing w:before="200" w:after="60" w:line="293" w:lineRule="auto"/>
      </w:pPr>
      <w:r>
        <w:rPr>
          <w:rFonts w:ascii="Aptos" w:hAnsi="Aptos" w:cs="Aptos" w:eastAsia="Aptos"/>
          <w:b/>
          <w:i w:val="0"/>
          <w:color w:val="5C7891"/>
          <w:sz w:val="19"/>
        </w:rPr>
        <w:t>11.1  Acórdão do Tribunal Central Administrativo Sul de 4 de fevereiro de 2010</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80" w:line="293" w:lineRule="auto"/>
              <w:jc w:val="both"/>
            </w:pPr>
            <w:r>
              <w:rPr>
                <w:rFonts w:ascii="Aptos" w:hAnsi="Aptos" w:cs="Aptos" w:eastAsia="Aptos"/>
                <w:b w:val="0"/>
                <w:i/>
                <w:color w:val="2B2B2B"/>
                <w:sz w:val="19"/>
              </w:rPr>
              <w:t>I – A posse de animais [cães ou gatos] em qualquer número em prédios urbanos, rústicos ou mistos, nos termos do n.º 1 do artigo 3.º do DL n.º 314/2003, de 17/12, depende da existência de uma situação de salubridade ambiental, com vista a evitar um perigo para a saúde pública.</w:t>
            </w:r>
          </w:p>
          <w:p>
            <w:pPr>
              <w:spacing w:before="0" w:after="0" w:line="293" w:lineRule="auto"/>
              <w:jc w:val="both"/>
            </w:pPr>
            <w:r>
              <w:rPr>
                <w:rFonts w:ascii="Aptos" w:hAnsi="Aptos" w:cs="Aptos" w:eastAsia="Aptos"/>
                <w:b w:val="0"/>
                <w:i/>
                <w:color w:val="2B2B2B"/>
                <w:sz w:val="19"/>
              </w:rPr>
              <w:t>II – Porém, o n.º 4 do preceito em causa prevê que «nos prédios rústicos ou mistos podem ser alojados até seis animais adultos, podendo tal número ser excedido se a dimensão do terreno o permitir […]», o que significa que incumbe à Administração aferir sempre se o prédio onde se encontram alojados animais [cães e gatos] permite ou não o enquadramento na situação especial contida na norma […]</w:t>
            </w:r>
          </w:p>
          <w:p>
            <w:pPr>
              <w:spacing w:before="120" w:after="0" w:line="293" w:lineRule="auto"/>
            </w:pPr>
            <w:r>
              <w:rPr>
                <w:rFonts w:ascii="Aptos" w:hAnsi="Aptos" w:cs="Aptos" w:eastAsia="Aptos"/>
                <w:b w:val="0"/>
                <w:i w:val="0"/>
                <w:color w:val="7C8894"/>
                <w:sz w:val="15"/>
              </w:rPr>
              <w:t>Sumário do acórdão do TCA Sul de 4.2.2010, processo n.º 04784/09, relator Rui Pereira; descritores «alojamento de animais» e «prédio misto»</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caso teve origem em despacho do presidente de câmara, de 2 de janeiro de 2006, ordenando a remoção dos cães existentes na residência «para além do limite imposto». Confirma que o n.º 4 não tem teto e que a Administração tem de aferir caso a caso. Nada diz sobre estabelecimentos.</w:t>
      </w:r>
    </w:p>
    <w:p>
      <w:pPr>
        <w:keepNext/>
        <w:spacing w:before="200" w:after="60" w:line="293" w:lineRule="auto"/>
      </w:pPr>
      <w:r>
        <w:rPr>
          <w:rFonts w:ascii="Aptos" w:hAnsi="Aptos" w:cs="Aptos" w:eastAsia="Aptos"/>
          <w:b/>
          <w:i w:val="0"/>
          <w:color w:val="5C7891"/>
          <w:sz w:val="19"/>
        </w:rPr>
        <w:t>11.2  Acórdão do Tribunal da Relação de Lisboa de 28 de junho de 2007</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I – Deve ser deferida a providência que visa a remoção de animais alojados num canil clandestino, instalado no logradouro de um prédio urbano, de onde emana um cheiro nauseabundo, ladrando os 30 canídeos dia e noite o que traduz violação do disposto no artigo 3.º/1 do Decreto-lei n.º 314/2003, de 17 de Dezembro.</w:t>
            </w:r>
          </w:p>
          <w:p>
            <w:pPr>
              <w:spacing w:before="120" w:after="0" w:line="293" w:lineRule="auto"/>
            </w:pPr>
            <w:r>
              <w:rPr>
                <w:rFonts w:ascii="Aptos" w:hAnsi="Aptos" w:cs="Aptos" w:eastAsia="Aptos"/>
                <w:b w:val="0"/>
                <w:i w:val="0"/>
                <w:color w:val="7C8894"/>
                <w:sz w:val="15"/>
              </w:rPr>
              <w:t>Sumário do acórdão do TRL de 28.6.2007, processo n.º 1692/2007-8, relator Salazar Casanova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O caso envolvia mais de cinquenta cães de grande porte no logradouro de uma vivenda geminada. Foi resolvido pelo n.º 1 do artigo 3.º e pela tutela dos direitos de personalidade. </w:t>
      </w:r>
      <w:r>
        <w:rPr>
          <w:rFonts w:ascii="Aptos" w:hAnsi="Aptos" w:cs="Aptos" w:eastAsia="Aptos"/>
          <w:b/>
          <w:i w:val="0"/>
          <w:color w:val="2B2B2B"/>
          <w:sz w:val="20"/>
        </w:rPr>
        <w:t>O Decreto-Lei n.º 276/2001 não é sequer mencionado</w:t>
      </w:r>
      <w:r>
        <w:rPr>
          <w:rFonts w:ascii="Aptos" w:hAnsi="Aptos" w:cs="Aptos" w:eastAsia="Aptos"/>
          <w:b w:val="0"/>
          <w:i w:val="0"/>
          <w:color w:val="2B2B2B"/>
          <w:sz w:val="20"/>
        </w:rPr>
        <w:t>, apesar de estar em causa instalação que, com cinquenta cães, seria manifestamente um alojamento não titulado.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Duplo sentido.</w:t>
            </w:r>
            <w:r>
              <w:rPr>
                <w:rFonts w:ascii="Aptos" w:hAnsi="Aptos" w:cs="Aptos" w:eastAsia="Aptos"/>
                <w:b w:val="0"/>
                <w:i w:val="0"/>
                <w:color w:val="2B2B2B"/>
                <w:sz w:val="19"/>
              </w:rPr>
              <w:t xml:space="preserve"> Mostra que o artigo 3.º é efetivamente mobilizado contra instalações que são, de facto, canis, e não apenas contra a detenção familiar — o que milita no sentido do ponto 6. Mas o caso era de instalação </w:t>
            </w:r>
            <w:r>
              <w:rPr>
                <w:rFonts w:ascii="Aptos" w:hAnsi="Aptos" w:cs="Aptos" w:eastAsia="Aptos"/>
                <w:b/>
                <w:i w:val="0"/>
                <w:color w:val="2B2B2B"/>
                <w:sz w:val="19"/>
              </w:rPr>
              <w:t>não titulada</w:t>
            </w:r>
            <w:r>
              <w:rPr>
                <w:rFonts w:ascii="Aptos" w:hAnsi="Aptos" w:cs="Aptos" w:eastAsia="Aptos"/>
                <w:b w:val="0"/>
                <w:i w:val="0"/>
                <w:color w:val="2B2B2B"/>
                <w:sz w:val="19"/>
              </w:rPr>
              <w:t>, e não de lotação de alojamento registado. A leitura mais natural do silêncio sobre o Decreto-Lei n.º 276/2001 não é a de que o diploma não se aplicava, mas a de que a via sanitária e a tutela da personalidade foram as escolhidas por serem as eficazes.</w:t>
            </w:r>
          </w:p>
        </w:tc>
      </w:tr>
    </w:tbl>
    <w:p>
      <w:pPr>
        <w:spacing w:before="0" w:after="180" w:line="293" w:lineRule="auto"/>
      </w:pPr>
    </w:p>
    <w:p>
      <w:pPr>
        <w:keepNext/>
        <w:spacing w:before="200" w:after="60" w:line="293" w:lineRule="auto"/>
      </w:pPr>
      <w:r>
        <w:rPr>
          <w:rFonts w:ascii="Aptos" w:hAnsi="Aptos" w:cs="Aptos" w:eastAsia="Aptos"/>
          <w:b/>
          <w:i w:val="0"/>
          <w:color w:val="5C7891"/>
          <w:sz w:val="19"/>
        </w:rPr>
        <w:t>11.3  Acórdão do Tribunal da Relação de Guimarães de 19 de maio de 2022</w:t>
      </w:r>
    </w:p>
    <w:p>
      <w:pPr>
        <w:spacing w:before="0" w:after="140" w:line="293" w:lineRule="auto"/>
        <w:jc w:val="both"/>
      </w:pPr>
      <w:r>
        <w:rPr>
          <w:rFonts w:ascii="Aptos" w:hAnsi="Aptos" w:cs="Aptos" w:eastAsia="Aptos"/>
          <w:b w:val="0"/>
          <w:i w:val="0"/>
          <w:color w:val="2B2B2B"/>
          <w:sz w:val="20"/>
        </w:rPr>
        <w:t>A doutrina que se debruçou sobre o artigo 3.º sustentou que os seus limites valem apenas para efeitos de prevenção de zoonoses e que seria abusivo deles extrair uma limitação geral aos poderes do proprietário de fracção autónoma. Essa posição não foi acolhida.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 o DL n.º 314/2003, de 17 de Dezembro, que aprova o Programa Nacional de Luta e Vigilância Epidemiológica da Raiva e que em cuja art.º 3º n.º 2 dispõe que nos prédios urbanos podem ser alojados até três cães ou quatro gatos adultos por cada fogo, não podendo no total ser excedido o número de quatro animais […] e cujo n.º 3 dispõe que [n]o caso de fracções autónomas em regime de propriedade horizontal, o regulamento do condomínio pode estabelecer um limite de animais inferior ao previsto no número anterior;</w:t>
            </w:r>
          </w:p>
          <w:p>
            <w:pPr>
              <w:spacing w:before="120" w:after="0" w:line="293" w:lineRule="auto"/>
            </w:pPr>
            <w:r>
              <w:rPr>
                <w:rFonts w:ascii="Aptos" w:hAnsi="Aptos" w:cs="Aptos" w:eastAsia="Aptos"/>
                <w:b w:val="0"/>
                <w:i w:val="0"/>
                <w:color w:val="7C8894"/>
                <w:sz w:val="15"/>
              </w:rPr>
              <w:t>Acórdão do TRG de 19.5.2022, processo n.º 119/20.1T8FAF.G1, relator José Carlos Duarte, a propósito da al. a) do n.º 2 do artigo 1083.º do Código Civil</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tribunal integrou o artigo 3.º no elenco das regras de higiene, sossego e boa vizinhança relevantes para a resolução do contrato de arrendamento, a par do Regulamento Geral do Ruído e das restrições de vizinhança do Código Civil. É elemento de peso: mostra que os limites são mobilizados como padrão de conduta fora do domínio da polícia sanitária. Não respeita, ainda assim, à capacidade de estabelecimentos.</w:t>
      </w:r>
    </w:p>
    <w:p>
      <w:pPr>
        <w:keepNext/>
        <w:spacing w:before="200" w:after="60" w:line="293" w:lineRule="auto"/>
      </w:pPr>
      <w:r>
        <w:rPr>
          <w:rFonts w:ascii="Aptos" w:hAnsi="Aptos" w:cs="Aptos" w:eastAsia="Aptos"/>
          <w:b/>
          <w:i w:val="0"/>
          <w:color w:val="5C7891"/>
          <w:sz w:val="19"/>
        </w:rPr>
        <w:t>11.4  Resultado negativo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Foram descarregados e lidos na íntegra </w:t>
            </w:r>
            <w:r>
              <w:rPr>
                <w:rFonts w:ascii="Aptos" w:hAnsi="Aptos" w:cs="Aptos" w:eastAsia="Aptos"/>
                <w:b/>
                <w:i w:val="0"/>
                <w:color w:val="2B2B2B"/>
                <w:sz w:val="20"/>
              </w:rPr>
              <w:t>trinta e dois acórdãos que citam o Decreto-Lei n.º 314/2003 e trinta e seis que citam o Decreto-Lei n.º 276/2001</w:t>
            </w:r>
            <w:r>
              <w:rPr>
                <w:rFonts w:ascii="Aptos" w:hAnsi="Aptos" w:cs="Aptos" w:eastAsia="Aptos"/>
                <w:b w:val="0"/>
                <w:i w:val="0"/>
                <w:color w:val="2B2B2B"/>
                <w:sz w:val="20"/>
              </w:rPr>
              <w:t>, nas nove bases dos tribunais superiores. Em nenhum deles alguém foi sancionado por criar ou alojar animais sem o título de acesso, e em nenhum a lotação de um estabelecimento foi fixada a partir do artigo 3.º.</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12.  </w:t>
      </w:r>
      <w:r>
        <w:rPr>
          <w:rFonts w:ascii="Aptos" w:hAnsi="Aptos" w:cs="Aptos" w:eastAsia="Aptos"/>
          <w:b/>
          <w:i w:val="0"/>
          <w:color w:val="35506B"/>
          <w:sz w:val="27"/>
        </w:rPr>
        <w:t>Prática administrativa</w:t>
      </w:r>
    </w:p>
    <w:p>
      <w:pPr>
        <w:keepNext/>
        <w:pBdr>
          <w:bottom w:val="single" w:sz="4" w:space="1" w:color="D7DEE5"/>
        </w:pBdr>
        <w:spacing w:before="0" w:after="160" w:line="40" w:lineRule="exact"/>
      </w:pP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DGAV — «FAQ's para alojamentos de criação»</w:t>
      </w:r>
      <w:r>
        <w:rPr>
          <w:rFonts w:ascii="Aptos" w:hAnsi="Aptos" w:cs="Aptos" w:eastAsia="Aptos"/>
          <w:b w:val="0"/>
          <w:i w:val="0"/>
          <w:color w:val="2B2B2B"/>
          <w:sz w:val="20"/>
        </w:rPr>
        <w:t xml:space="preserve">, versão de julho de 2025. Descreve o título de acesso, os documentos exigidos, o destinatário, a ausência de taxa e de vistoria de abertura, e os requisitos das instalações por remissão para o Decreto-Lei n.º 276/2001. </w:t>
      </w:r>
      <w:r>
        <w:rPr>
          <w:rFonts w:ascii="Aptos" w:hAnsi="Aptos" w:cs="Aptos" w:eastAsia="Aptos"/>
          <w:b/>
          <w:i w:val="0"/>
          <w:color w:val="2B2B2B"/>
          <w:sz w:val="20"/>
        </w:rPr>
        <w:t>Não invoca em momento algum o Decreto-Lei n.º 314/2003, os limites por fogo ou a classificação do prédio.</w:t>
      </w:r>
      <w:r>
        <w:rPr>
          <w:rFonts w:ascii="Aptos" w:hAnsi="Aptos" w:cs="Aptos" w:eastAsia="Aptos"/>
          <w:b w:val="0"/>
          <w:i w:val="0"/>
          <w:color w:val="2B2B2B"/>
          <w:sz w:val="20"/>
        </w:rPr>
        <w:t xml:space="preserve"> Entre as exigências enumeradas contam-se instalações individualizadas para maternidade e criação até à idade adulta, quarentena e enfermaria; zonas separadas de armazenagem e manuseamento de alimentos; sistema de proteção contra incêndios com alarme de avaria; área de recreio coberta e descoberta; e inspeção diária.</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Porto</w:t>
      </w:r>
      <w:r>
        <w:rPr>
          <w:rFonts w:ascii="Aptos" w:hAnsi="Aptos" w:cs="Aptos" w:eastAsia="Aptos"/>
          <w:b w:val="0"/>
          <w:i w:val="0"/>
          <w:color w:val="2B2B2B"/>
          <w:sz w:val="20"/>
        </w:rPr>
        <w:t xml:space="preserve"> — serviço «Autorização de alojamento de animais em n.º superior ao previsto na lei». Dirige-se a proprietários de habitações em prédios urbanos e distingue expressamente as «situações de alojamento de animais, com ou sem fins comerciais», que carecem de título próprio.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Município do Cartaxo</w:t>
      </w:r>
      <w:r>
        <w:rPr>
          <w:rFonts w:ascii="Aptos" w:hAnsi="Aptos" w:cs="Aptos" w:eastAsia="Aptos"/>
          <w:b w:val="0"/>
          <w:i w:val="0"/>
          <w:color w:val="2B2B2B"/>
          <w:sz w:val="20"/>
        </w:rPr>
        <w:t xml:space="preserve"> — Regulamento n.º 181/2025, de 31 de janeiro, publicado no Diário da República, 2.ª série, n.º 22. O artigo 13.º reproduz o artigo 3.º e acrescenta-lhe apenas o procedimento — requerimento ao presidente da câmara e vistoria conjunta — e a sujeição a taxas. </w:t>
      </w:r>
      <w:r>
        <w:rPr>
          <w:rFonts w:ascii="Aptos" w:hAnsi="Aptos" w:cs="Aptos" w:eastAsia="Aptos"/>
          <w:b/>
          <w:i w:val="0"/>
          <w:color w:val="2B2B2B"/>
          <w:sz w:val="20"/>
        </w:rPr>
        <w:t>Não o liga ao licenciamento de alojamentos.</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i w:val="0"/>
          <w:color w:val="2B2B2B"/>
          <w:sz w:val="20"/>
        </w:rPr>
        <w:t>CIM do Alto Minho</w:t>
      </w:r>
      <w:r>
        <w:rPr>
          <w:rFonts w:ascii="Aptos" w:hAnsi="Aptos" w:cs="Aptos" w:eastAsia="Aptos"/>
          <w:b w:val="0"/>
          <w:i w:val="0"/>
          <w:color w:val="2B2B2B"/>
          <w:sz w:val="20"/>
        </w:rPr>
        <w:t xml:space="preserve"> — perguntas frequentes sobre animais de companhia. A questão é formulada como «Qual o número máximo de animais que é possível alojar </w:t>
      </w:r>
      <w:r>
        <w:rPr>
          <w:rFonts w:ascii="Aptos" w:hAnsi="Aptos" w:cs="Aptos" w:eastAsia="Aptos"/>
          <w:b/>
          <w:i w:val="0"/>
          <w:color w:val="2B2B2B"/>
          <w:sz w:val="20"/>
        </w:rPr>
        <w:t>numa habitação</w:t>
      </w:r>
      <w:r>
        <w:rPr>
          <w:rFonts w:ascii="Aptos" w:hAnsi="Aptos" w:cs="Aptos" w:eastAsia="Aptos"/>
          <w:b w:val="0"/>
          <w:i w:val="0"/>
          <w:color w:val="2B2B2B"/>
          <w:sz w:val="20"/>
        </w:rPr>
        <w:t>?». Nunca associa o limite à criação.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A prática administrativa é convergente e não cruza os dois planos. Não vale como fonte de direito, mas vale como prática reiterada da autoridade competente e dos municípios, e é elemento a ponderar na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13.  </w:t>
      </w:r>
      <w:r>
        <w:rPr>
          <w:rFonts w:ascii="Aptos" w:hAnsi="Aptos" w:cs="Aptos" w:eastAsia="Aptos"/>
          <w:b/>
          <w:i w:val="0"/>
          <w:color w:val="35506B"/>
          <w:sz w:val="27"/>
        </w:rPr>
        <w:t>Os títulos de acesso às atividades e a autorização municipal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Lei n.º 92/95 sujeitou, em 1995, sete atividades a um único título municipal de controlo prévio: explorar o comércio de animais, guardá-los mediante remuneração, criá-los para fins comerciais, alugá-los, servir-se deles para transporte, expô-los ou exibi-los com fim comercial. Interessa saber o que resta dessa norma, porque uma autorização municipal cujo pressuposto é a verificação das «condições previstas na lei destinadas a assegurar o bem-estar e a sanidade dos animais» seria via possível de entrada dos limites do artigo 3.º no regime dos alojamentos.</w:t>
      </w:r>
    </w:p>
    <w:p>
      <w:pPr>
        <w:keepNext/>
        <w:spacing w:before="260" w:after="80" w:line="293" w:lineRule="auto"/>
      </w:pPr>
      <w:r>
        <w:rPr>
          <w:rFonts w:ascii="Aptos" w:hAnsi="Aptos" w:cs="Aptos" w:eastAsia="Aptos"/>
          <w:b/>
          <w:i w:val="0"/>
          <w:color w:val="7C8894"/>
          <w:sz w:val="21"/>
        </w:rPr>
        <w:t xml:space="preserve">13.1  </w:t>
      </w:r>
      <w:r>
        <w:rPr>
          <w:rFonts w:ascii="Aptos" w:hAnsi="Aptos" w:cs="Aptos" w:eastAsia="Aptos"/>
          <w:b/>
          <w:i w:val="0"/>
          <w:color w:val="35506B"/>
          <w:sz w:val="21"/>
        </w:rPr>
        <w:t>Três deslocamentos sucessivos</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 guarda remunerada e a criação comercial passaram para a DGAV.</w:t>
      </w:r>
      <w:r>
        <w:rPr>
          <w:rFonts w:ascii="Aptos" w:hAnsi="Aptos" w:cs="Aptos" w:eastAsia="Aptos"/>
          <w:b w:val="0"/>
          <w:i w:val="0"/>
          <w:color w:val="2B2B2B"/>
          <w:sz w:val="20"/>
        </w:rPr>
        <w:t xml:space="preserve"> A al. a) do n.º 1 do artigo 3.º do Decreto-Lei n.º 276/2001, na redação do Decreto-Lei n.º 260/2012, sujeita a mera comunicação prévia os centros de recolha, os alojamentos para hospedagem e a criação comercial de animais de companhia; a al. b) sujeita a permissão administrativa a criação de animais potencialmente perigosos. A comunicação é dirigida à DGAV através do balcão único eletrónico. O município saiu do procedimento.</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O comércio a retalho passou para o regime das atividades económicas.</w:t>
      </w:r>
      <w:r>
        <w:rPr>
          <w:rFonts w:ascii="Aptos" w:hAnsi="Aptos" w:cs="Aptos" w:eastAsia="Aptos"/>
          <w:b w:val="0"/>
          <w:i w:val="0"/>
          <w:color w:val="2B2B2B"/>
          <w:sz w:val="20"/>
        </w:rPr>
        <w:t xml:space="preserve"> A al. c) do n.º 1 do artigo 4.º do Decreto-Lei n.º 10/2015 sujeita a exploração de estabelecimentos de comércio a retalho de animais de companhia a mera comunicação prévia, dirigida ao município através do «Balcão do empreendedor», nos termos do n.º 1 do artigo 7.º. O município continua destinatário, mas deixou de autorizar: passou a ser notificado. A diferença não é de forma — o controlo prévio desapareceu.</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Os dois regimes foram encaixados, não sobrepostos.</w:t>
      </w:r>
      <w:r>
        <w:rPr>
          <w:rFonts w:ascii="Aptos" w:hAnsi="Aptos" w:cs="Aptos" w:eastAsia="Aptos"/>
          <w:b w:val="0"/>
          <w:i w:val="0"/>
          <w:color w:val="2B2B2B"/>
          <w:sz w:val="20"/>
        </w:rPr>
        <w:t xml:space="preserve"> A al. a) do n.º 1 do artigo 3.º do Decreto-Lei n.º 276/2001 exclui expressamente da comunicação à DGAV os alojamentos destinados exclusivamente à venda, precisamente porque estes caem no regime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O funcionamento das lojas de animais não depende de mera comunicação prévia junto da DGAV, estando aquele sujeito às normas previstas no regime jurídico de acesso e exercício de atividades de comércio, serviços e restauração.</w:t>
            </w:r>
          </w:p>
          <w:p>
            <w:pPr>
              <w:spacing w:before="120" w:after="0" w:line="293" w:lineRule="auto"/>
            </w:pPr>
            <w:r>
              <w:rPr>
                <w:rFonts w:ascii="Aptos" w:hAnsi="Aptos" w:cs="Aptos" w:eastAsia="Aptos"/>
                <w:b w:val="0"/>
                <w:i w:val="0"/>
                <w:color w:val="7C8894"/>
                <w:sz w:val="15"/>
              </w:rPr>
              <w:t>DGAV, Esclarecimento n.º 4/2018 sobre a Lei n.º 95/2017, junho de 2018</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13.2  </w:t>
      </w:r>
      <w:r>
        <w:rPr>
          <w:rFonts w:ascii="Aptos" w:hAnsi="Aptos" w:cs="Aptos" w:eastAsia="Aptos"/>
          <w:b/>
          <w:i w:val="0"/>
          <w:color w:val="35506B"/>
          <w:sz w:val="21"/>
        </w:rPr>
        <w:t>O que subsiste do artigo 2.º</w:t>
      </w:r>
    </w:p>
    <w:p>
      <w:pPr>
        <w:spacing w:before="0" w:after="140" w:line="293" w:lineRule="auto"/>
        <w:jc w:val="both"/>
      </w:pPr>
      <w:r>
        <w:rPr>
          <w:rFonts w:ascii="Aptos" w:hAnsi="Aptos" w:cs="Aptos" w:eastAsia="Aptos"/>
          <w:b w:val="0"/>
          <w:i w:val="0"/>
          <w:color w:val="2B2B2B"/>
          <w:sz w:val="20"/>
        </w:rPr>
        <w:t xml:space="preserve">Três das sete atividades: o aluguer de animais, o servir-se deles para fins de transporte e a sua exposição ou exibição com fim comercial. Nenhuma tem outro título de acesso, e aí o artigo 2.º opera sozinho. Nenhuma delas é, porém, uma atividade de </w:t>
      </w:r>
      <w:r>
        <w:rPr>
          <w:rFonts w:ascii="Aptos" w:hAnsi="Aptos" w:cs="Aptos" w:eastAsia="Aptos"/>
          <w:b/>
          <w:i w:val="0"/>
          <w:color w:val="2B2B2B"/>
          <w:sz w:val="20"/>
        </w:rPr>
        <w:t>alojar</w:t>
      </w:r>
      <w:r>
        <w:rPr>
          <w:rFonts w:ascii="Aptos" w:hAnsi="Aptos" w:cs="Aptos" w:eastAsia="Aptos"/>
          <w:b w:val="0"/>
          <w:i w:val="0"/>
          <w:color w:val="2B2B2B"/>
          <w:sz w:val="20"/>
        </w:rPr>
        <w:t xml:space="preserve"> — o artigo 3.º do Decreto-Lei n.º 314/2003 não tem aí objeto sobre que incidir.</w:t>
      </w:r>
    </w:p>
    <w:p>
      <w:pPr>
        <w:keepNext/>
        <w:spacing w:before="260" w:after="80" w:line="293" w:lineRule="auto"/>
      </w:pPr>
      <w:r>
        <w:rPr>
          <w:rFonts w:ascii="Aptos" w:hAnsi="Aptos" w:cs="Aptos" w:eastAsia="Aptos"/>
          <w:b/>
          <w:i w:val="0"/>
          <w:color w:val="7C8894"/>
          <w:sz w:val="21"/>
        </w:rPr>
        <w:t xml:space="preserve">13.3  </w:t>
      </w:r>
      <w:r>
        <w:rPr>
          <w:rFonts w:ascii="Aptos" w:hAnsi="Aptos" w:cs="Aptos" w:eastAsia="Aptos"/>
          <w:b/>
          <w:i w:val="0"/>
          <w:color w:val="35506B"/>
          <w:sz w:val="21"/>
        </w:rPr>
        <w:t>Vigência formal e revogação tácita parcial</w:t>
      </w:r>
    </w:p>
    <w:p>
      <w:pPr>
        <w:spacing w:before="0" w:after="140" w:line="293" w:lineRule="auto"/>
        <w:jc w:val="both"/>
      </w:pPr>
      <w:r>
        <w:rPr>
          <w:rFonts w:ascii="Aptos" w:hAnsi="Aptos" w:cs="Aptos" w:eastAsia="Aptos"/>
          <w:b w:val="0"/>
          <w:i w:val="0"/>
          <w:color w:val="2B2B2B"/>
          <w:sz w:val="20"/>
        </w:rPr>
        <w:t>A construção assenta em duas normas, e não em argumento próprio. Quanto à paridade de valor, o n.º 2 do artigo 112.º da Constituição, na redação da Lei Constitucional n.º 1/2005, dispõe que «as leis e os decretos-leis têm igual valor, sem prejuízo da subordinação às correspondentes leis dos decretos-leis publicados no uso de autorização legislativa e dos que desenvolvam as bases gerais dos regimes jurídicos». A Lei n.º 92/95 foi aprovada ao abrigo da competência legislativa comum — o preâmbulo invoca os artigos 164.º, alínea d), e 169.º, n.º 3, da Constituição na numeração anterior à revisão de 1997 — e não é lei de valor reforçado. Um decreto-lei posterior pode, pois, derrogá-la.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2 - A revogação pode resultar de declaração expressa, da incompatibilidade entre as novas disposições e as regras precedentes ou da circunstância de a nova lei regular toda a matéria da lei anterior.</w:t>
            </w:r>
          </w:p>
          <w:p>
            <w:pPr>
              <w:spacing w:before="120" w:after="0" w:line="293" w:lineRule="auto"/>
            </w:pPr>
            <w:r>
              <w:rPr>
                <w:rFonts w:ascii="Aptos" w:hAnsi="Aptos" w:cs="Aptos" w:eastAsia="Aptos"/>
                <w:b w:val="0"/>
                <w:i w:val="0"/>
                <w:color w:val="7C8894"/>
                <w:sz w:val="15"/>
              </w:rPr>
              <w:t>N.º 2 do artigo 7.º do Código Civil, conferido no Diário do Governo n.º 274, I série, de 25 de novembro de 1966, a páginas 1886</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São as duas últimas hipóteses que relevam: substituir o controlo prévio municipal por mera comunicação prévia é incompatível com a exigência de autorização, e o Decreto-Lei n.º 10/2015 regula toda a matéria do acesso àquela atividade. O artigo 2.º nunca foi expressamente revogado, e a Assembleia da República voltou ao diploma em 2002, 2014, 2020 e 2022 sem lhe tocar.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construção defensável é a de </w:t>
            </w:r>
            <w:r>
              <w:rPr>
                <w:rFonts w:ascii="Aptos" w:hAnsi="Aptos" w:cs="Aptos" w:eastAsia="Aptos"/>
                <w:b/>
                <w:i w:val="0"/>
                <w:color w:val="2B2B2B"/>
                <w:sz w:val="20"/>
              </w:rPr>
              <w:t>revogação tácita parcial por incompatibilidade</w:t>
            </w:r>
            <w:r>
              <w:rPr>
                <w:rFonts w:ascii="Aptos" w:hAnsi="Aptos" w:cs="Aptos" w:eastAsia="Aptos"/>
                <w:b w:val="0"/>
                <w:i w:val="0"/>
                <w:color w:val="2B2B2B"/>
                <w:sz w:val="20"/>
              </w:rPr>
              <w:t xml:space="preserve">: a norma subsiste, mas o seu objeto foi sendo ocupado por regimes especiais posteriores, restando-lhe o que estes não ocuparam. Não sendo o título dos alojamentos municipal, a autorização do artigo 2.º não é via por onde os limites do artigo 3.º possam entrar no regime dos alojamentos registados. </w:t>
            </w:r>
            <w:r>
              <w:rPr>
                <w:rFonts w:ascii="Aptos" w:hAnsi="Aptos" w:cs="Aptos" w:eastAsia="Aptos"/>
                <w:b/>
                <w:i w:val="0"/>
                <w:color w:val="2B2B2B"/>
                <w:sz w:val="20"/>
              </w:rPr>
              <w:t>Efeito na questão central: neutro.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Ressalva.</w:t>
            </w:r>
            <w:r>
              <w:rPr>
                <w:rFonts w:ascii="Aptos" w:hAnsi="Aptos" w:cs="Aptos" w:eastAsia="Aptos"/>
                <w:b w:val="0"/>
                <w:i w:val="0"/>
                <w:color w:val="2B2B2B"/>
                <w:sz w:val="19"/>
              </w:rPr>
              <w:t xml:space="preserve"> O município não desapareceu do regime. Continua a ser autoridade competente para efeitos do Decreto-Lei n.º 276/2001, nos termos da al. x) do n.º 1 do artigo 2.º, e detém o poder do n.º 5 do artigo 3.º do Decreto-Lei n.º 314/2003. Mas isso é fiscalização, não titulação. </w:t>
            </w:r>
            <w:r>
              <w:rPr>
                <w:rFonts w:ascii="Aptos" w:hAnsi="Aptos" w:cs="Aptos" w:eastAsia="Aptos"/>
                <w:b/>
                <w:i w:val="0"/>
                <w:color w:val="2B2B2B"/>
                <w:sz w:val="19"/>
              </w:rPr>
              <w:t>Por confirmar:</w:t>
            </w:r>
            <w:r>
              <w:rPr>
                <w:rFonts w:ascii="Aptos" w:hAnsi="Aptos" w:cs="Aptos" w:eastAsia="Aptos"/>
                <w:b w:val="0"/>
                <w:i w:val="0"/>
                <w:color w:val="2B2B2B"/>
                <w:sz w:val="19"/>
              </w:rPr>
              <w:t xml:space="preserve"> se algum município ainda pratica autorizações ao abrigo do artigo 2.º, e se existe jurisprudência sobre esta derrogação. Nada foi localizado. Não se localizou doutrina que trate especificamente desta derrogação; o raciocínio é próprio, embora as premissas normativas sejam as citadas.</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14.  </w:t>
      </w:r>
      <w:r>
        <w:rPr>
          <w:rFonts w:ascii="Aptos" w:hAnsi="Aptos" w:cs="Aptos" w:eastAsia="Aptos"/>
          <w:b/>
          <w:i w:val="0"/>
          <w:color w:val="35506B"/>
          <w:sz w:val="27"/>
        </w:rPr>
        <w:t>A remissão da al. p) do n.º 1 do artigo 2.º do Decreto-Lei n.º 276/2001</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é </w:t>
            </w:r>
            <w:r>
              <w:rPr>
                <w:rFonts w:ascii="Aptos" w:hAnsi="Aptos" w:cs="Aptos" w:eastAsia="Aptos"/>
                <w:b/>
                <w:i w:val="0"/>
                <w:color w:val="2B2B2B"/>
                <w:sz w:val="20"/>
              </w:rPr>
              <w:t>coerente e deliberada</w:t>
            </w:r>
            <w:r>
              <w:rPr>
                <w:rFonts w:ascii="Aptos" w:hAnsi="Aptos" w:cs="Aptos" w:eastAsia="Aptos"/>
                <w:b w:val="0"/>
                <w:i w:val="0"/>
                <w:color w:val="2B2B2B"/>
                <w:sz w:val="20"/>
              </w:rPr>
              <w:t>, e não um lapso. O seu efeito é o inverso do que aparenta: reforça a conclusão de que os limites por fogo não fixam a lotação dos alojamentos registados.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14.1  </w:t>
      </w:r>
      <w:r>
        <w:rPr>
          <w:rFonts w:ascii="Aptos" w:hAnsi="Aptos" w:cs="Aptos" w:eastAsia="Aptos"/>
          <w:b/>
          <w:i w:val="0"/>
          <w:color w:val="35506B"/>
          <w:sz w:val="21"/>
        </w:rPr>
        <w:t>A génese, documentada</w:t>
      </w:r>
    </w:p>
    <w:p>
      <w:pPr>
        <w:spacing w:before="0" w:after="140" w:line="293" w:lineRule="auto"/>
        <w:jc w:val="both"/>
      </w:pPr>
      <w:r>
        <w:rPr>
          <w:rFonts w:ascii="Aptos" w:hAnsi="Aptos" w:cs="Aptos" w:eastAsia="Aptos"/>
          <w:b w:val="0"/>
          <w:i w:val="0"/>
          <w:color w:val="2B2B2B"/>
          <w:sz w:val="20"/>
        </w:rPr>
        <w:t>A remissão não existia em 2001. No Diário da República n.º 241, de 17 de outubro de 2001, a alínea lia-se apenas: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w:t>
            </w:r>
          </w:p>
          <w:p>
            <w:pPr>
              <w:spacing w:before="120" w:after="0" w:line="293" w:lineRule="auto"/>
            </w:pPr>
            <w:r>
              <w:rPr>
                <w:rFonts w:ascii="Aptos" w:hAnsi="Aptos" w:cs="Aptos" w:eastAsia="Aptos"/>
                <w:b w:val="0"/>
                <w:i w:val="0"/>
                <w:color w:val="7C8894"/>
                <w:sz w:val="15"/>
              </w:rPr>
              <w:t>Al. p) do artigo 2.º do Decreto-Lei n.º 276/2001, texto original de 17.10.2001</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A ressalva foi acrescentada pelo </w:t>
      </w:r>
      <w:r>
        <w:rPr>
          <w:rFonts w:ascii="Aptos" w:hAnsi="Aptos" w:cs="Aptos" w:eastAsia="Aptos"/>
          <w:b/>
          <w:i w:val="0"/>
          <w:color w:val="2B2B2B"/>
          <w:sz w:val="20"/>
        </w:rPr>
        <w:t>Decreto-Lei n.º 315/2003, de 17 de dezembro</w:t>
      </w:r>
      <w:r>
        <w:rPr>
          <w:rFonts w:ascii="Aptos" w:hAnsi="Aptos" w:cs="Aptos" w:eastAsia="Aptos"/>
          <w:b w:val="0"/>
          <w:i w:val="0"/>
          <w:color w:val="2B2B2B"/>
          <w:sz w:val="20"/>
        </w:rPr>
        <w:t xml:space="preserve">, que alterou o artigo 2.º do Decreto-Lei n.º 276/2001. Esse diploma foi publicado no </w:t>
      </w:r>
      <w:r>
        <w:rPr>
          <w:rFonts w:ascii="Aptos" w:hAnsi="Aptos" w:cs="Aptos" w:eastAsia="Aptos"/>
          <w:b/>
          <w:i w:val="0"/>
          <w:color w:val="2B2B2B"/>
          <w:sz w:val="20"/>
        </w:rPr>
        <w:t>Diário da República n.º 290, de 17 de dezembro de 2003 — o mesmo número em que foi publicado o Decreto-Lei n.º 314/2003</w:t>
      </w:r>
      <w:r>
        <w:rPr>
          <w:rFonts w:ascii="Aptos" w:hAnsi="Aptos" w:cs="Aptos" w:eastAsia="Aptos"/>
          <w:b w:val="0"/>
          <w:i w:val="0"/>
          <w:color w:val="2B2B2B"/>
          <w:sz w:val="20"/>
        </w:rPr>
        <w:t>. São diplomas gémeos, saídos juntos.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A9C2D8"/>
              <w:bottom w:val="nil"/>
              <w:right w:val="nil"/>
            </w:tcBorders>
            <w:shd w:val="clear" w:color="auto" w:fill="F3F6F9"/>
            <w:tcMar>
              <w:top w:w="130" w:type="dxa"/>
              <w:bottom w:w="130" w:type="dxa"/>
              <w:left w:w="200" w:type="dxa"/>
              <w:right w:w="180" w:type="dxa"/>
            </w:tcMar>
          </w:tcPr>
          <w:p>
            <w:pPr>
              <w:spacing w:before="0" w:after="0" w:line="293" w:lineRule="auto"/>
              <w:jc w:val="both"/>
            </w:pPr>
            <w:r>
              <w:rPr>
                <w:rFonts w:ascii="Aptos" w:hAnsi="Aptos" w:cs="Aptos" w:eastAsia="Aptos"/>
                <w:b w:val="0"/>
                <w:i/>
                <w:color w:val="2B2B2B"/>
                <w:sz w:val="19"/>
              </w:rPr>
              <w:t>p) «Hospedagem sem fins lucrativos», alojamento, permanente ou temporário, de animais de companhia que não vise a obtenção de rendimentos, com excepção das referidas no n.º 3 do artigo 3.º do diploma que aprova o Plano Nacional de Luta e Vigilância da Raiva Animal e outras Zoonoses;</w:t>
            </w:r>
          </w:p>
          <w:p>
            <w:pPr>
              <w:spacing w:before="120" w:after="0" w:line="293" w:lineRule="auto"/>
            </w:pPr>
            <w:r>
              <w:rPr>
                <w:rFonts w:ascii="Aptos" w:hAnsi="Aptos" w:cs="Aptos" w:eastAsia="Aptos"/>
                <w:b w:val="0"/>
                <w:i w:val="0"/>
                <w:color w:val="7C8894"/>
                <w:sz w:val="15"/>
              </w:rPr>
              <w:t>Al. p) do n.º 1 do artigo 2.º do Decreto-Lei n.º 276/2001, na redação do Decreto-Lei n.º 315/2003</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O referente só pode ser o Decreto-Lei n.º 314/2003. O Decreto-Lei n.º 91/2001, de 23 de março, que aquele revogou, tem no artigo 3.º uma norma de definições com alíneas e sem números, pelo que não tem n.º 3; e a Portaria n.º 81/2002, de 24 de janeiro, tem no artigo 3.º a vacinação anti-rábica em regime de campanha, com dois números apenas. Nenhum dos dois comporta a remissão.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Designação usada.</w:t>
            </w:r>
            <w:r>
              <w:rPr>
                <w:rFonts w:ascii="Aptos" w:hAnsi="Aptos" w:cs="Aptos" w:eastAsia="Aptos"/>
                <w:b w:val="0"/>
                <w:i w:val="0"/>
                <w:color w:val="2B2B2B"/>
                <w:sz w:val="19"/>
              </w:rPr>
              <w:t xml:space="preserve"> A alínea fala em «Plano Nacional de Luta e Vigilância da Raiva Animal e outras Zoonoses». O Decreto-Lei n.º 314/2003 chama-lhe «Programa Nacional de Luta e Vigilância </w:t>
            </w:r>
            <w:r>
              <w:rPr>
                <w:rFonts w:ascii="Aptos" w:hAnsi="Aptos" w:cs="Aptos" w:eastAsia="Aptos"/>
                <w:b/>
                <w:i w:val="0"/>
                <w:color w:val="2B2B2B"/>
                <w:sz w:val="19"/>
              </w:rPr>
              <w:t>Epidemiológica</w:t>
            </w:r>
            <w:r>
              <w:rPr>
                <w:rFonts w:ascii="Aptos" w:hAnsi="Aptos" w:cs="Aptos" w:eastAsia="Aptos"/>
                <w:b w:val="0"/>
                <w:i w:val="0"/>
                <w:color w:val="2B2B2B"/>
                <w:sz w:val="19"/>
              </w:rPr>
              <w:t xml:space="preserve"> da Raiva Animal e Outras Zoonoses». A designação da alínea é a do vocabulário de 2001, que oscilava entre «Plano» e «Programa» dentro do próprio Decreto-Lei n.º 91/2001. É desleixo de redação, não vício de remissão.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14.2  </w:t>
      </w:r>
      <w:r>
        <w:rPr>
          <w:rFonts w:ascii="Aptos" w:hAnsi="Aptos" w:cs="Aptos" w:eastAsia="Aptos"/>
          <w:b/>
          <w:i w:val="0"/>
          <w:color w:val="35506B"/>
          <w:sz w:val="21"/>
        </w:rPr>
        <w:t>As duas leituras possíveis</w:t>
      </w:r>
    </w:p>
    <w:p>
      <w:pPr>
        <w:spacing w:before="0" w:after="140" w:line="293" w:lineRule="auto"/>
        <w:jc w:val="both"/>
      </w:pPr>
      <w:r>
        <w:rPr>
          <w:rFonts w:ascii="Aptos" w:hAnsi="Aptos" w:cs="Aptos" w:eastAsia="Aptos"/>
          <w:b w:val="0"/>
          <w:i w:val="0"/>
          <w:color w:val="2B2B2B"/>
          <w:sz w:val="20"/>
        </w:rPr>
        <w:t>O n.º 3 do artigo 3.º do Decreto-Lei n.º 314/2003 dispõe: «No caso de fracções autónomas em regime de propriedade horizontal, o regulamento do condomínio pode estabelecer um limite de animais inferior ao previsto no número anterior.»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Leitura</w:t>
            </w:r>
          </w:p>
        </w:tc>
        <w:tc>
          <w:tcPr>
            <w:tcW w:type="dxa" w:w="5896"/>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Conteúdo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Efeito</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Gramatical</w:t>
            </w:r>
          </w:p>
        </w:tc>
        <w:tc>
          <w:tcPr>
            <w:tcW w:type="dxa" w:w="5896"/>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 xml:space="preserve">«As referidas» são as </w:t>
            </w:r>
            <w:r>
              <w:rPr>
                <w:rFonts w:ascii="Aptos" w:hAnsi="Aptos" w:cs="Aptos" w:eastAsia="Aptos"/>
                <w:b/>
                <w:i w:val="0"/>
                <w:color w:val="2B2B2B"/>
                <w:sz w:val="17"/>
              </w:rPr>
              <w:t>fracções autónomas</w:t>
            </w:r>
            <w:r>
              <w:rPr>
                <w:rFonts w:ascii="Aptos" w:hAnsi="Aptos" w:cs="Aptos" w:eastAsia="Aptos"/>
                <w:b w:val="0"/>
                <w:i w:val="0"/>
                <w:color w:val="2B2B2B"/>
                <w:sz w:val="17"/>
              </w:rPr>
              <w:t xml:space="preserve"> — único plural feminino da norma remetida. A al. p) exclui do conceito de hospedagem sem fins lucrativos o alojamento em fração autónoma.</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Lapso de numeração</w:t>
            </w:r>
          </w:p>
        </w:tc>
        <w:tc>
          <w:tcPr>
            <w:tcW w:type="dxa" w:w="5896"/>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Pretendia-se remeter para o n.º 2, excluindo do conceito a detenção doméstica dentro dos limites. Teleologicamente atraente, mas sem antecedente feminino plural.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Não aplica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A conclusão resiste às duas leituras. Na primeira, a remissão é uma exclusão cirúrgica de um tipo de espaço. Na segunda, a al. p) afirma que abaixo do limite há lar e acima há hospedagem — o que também afasta a aplicação dos números à lotação.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14.3  </w:t>
      </w:r>
      <w:r>
        <w:rPr>
          <w:rFonts w:ascii="Aptos" w:hAnsi="Aptos" w:cs="Aptos" w:eastAsia="Aptos"/>
          <w:b/>
          <w:i w:val="0"/>
          <w:color w:val="35506B"/>
          <w:sz w:val="21"/>
        </w:rPr>
        <w:t>Por que razão só a hospedagem sem fins lucrativos</w:t>
      </w:r>
    </w:p>
    <w:p>
      <w:pPr>
        <w:spacing w:before="0" w:after="140" w:line="293" w:lineRule="auto"/>
        <w:jc w:val="both"/>
      </w:pPr>
      <w:r>
        <w:rPr>
          <w:rFonts w:ascii="Aptos" w:hAnsi="Aptos" w:cs="Aptos" w:eastAsia="Aptos"/>
          <w:b w:val="0"/>
          <w:i w:val="0"/>
          <w:color w:val="2B2B2B"/>
          <w:sz w:val="20"/>
        </w:rPr>
        <w:t>O Decreto-Lei n.º 315/2003 alterou a al. p) e deixou a al. q) intacta. A assimetria tem explicação, e não é o favorecimento do comércio.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q) define-se </w:t>
      </w:r>
      <w:r>
        <w:rPr>
          <w:rFonts w:ascii="Aptos" w:hAnsi="Aptos" w:cs="Aptos" w:eastAsia="Aptos"/>
          <w:b/>
          <w:i w:val="0"/>
          <w:color w:val="2B2B2B"/>
          <w:sz w:val="20"/>
        </w:rPr>
        <w:t>pela positiva</w:t>
      </w:r>
      <w:r>
        <w:rPr>
          <w:rFonts w:ascii="Aptos" w:hAnsi="Aptos" w:cs="Aptos" w:eastAsia="Aptos"/>
          <w:b w:val="0"/>
          <w:i w:val="0"/>
          <w:color w:val="2B2B2B"/>
          <w:sz w:val="20"/>
        </w:rPr>
        <w:t xml:space="preserve"> e é auto-limitada: exige que o alojamento «vise interesses comerciais ou lucrativos», o que uma casa particular nunca satisfaz.</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A al. p) define-se </w:t>
      </w:r>
      <w:r>
        <w:rPr>
          <w:rFonts w:ascii="Aptos" w:hAnsi="Aptos" w:cs="Aptos" w:eastAsia="Aptos"/>
          <w:b/>
          <w:i w:val="0"/>
          <w:color w:val="2B2B2B"/>
          <w:sz w:val="20"/>
        </w:rPr>
        <w:t>pela negativa</w:t>
      </w:r>
      <w:r>
        <w:rPr>
          <w:rFonts w:ascii="Aptos" w:hAnsi="Aptos" w:cs="Aptos" w:eastAsia="Aptos"/>
          <w:b w:val="0"/>
          <w:i w:val="0"/>
          <w:color w:val="2B2B2B"/>
          <w:sz w:val="20"/>
        </w:rPr>
        <w:t xml:space="preserve"> — «que não vise a obtenção de rendimentos» — e, sem ressalva, abrange literalmente todos os lares: manter animais em casa, em permanência, sem auferir rendimento, é exatamente isso. Era esta definição, e só ela, que estava sem chão.</w:t>
      </w:r>
    </w:p>
    <w:p>
      <w:pPr>
        <w:spacing w:before="0" w:after="80" w:line="293" w:lineRule="auto"/>
        <w:ind w:left="351" w:hanging="351"/>
        <w:jc w:val="both"/>
      </w:pPr>
      <w:r>
        <w:rPr>
          <w:rFonts w:ascii="Aptos" w:hAnsi="Aptos" w:cs="Aptos" w:eastAsia="Aptos"/>
          <w:b w:val="0"/>
          <w:i w:val="0"/>
          <w:color w:val="7C8894"/>
          <w:sz w:val="20"/>
        </w:rPr>
        <w:t>—</w:t>
        <w:tab/>
      </w:r>
      <w:r>
        <w:rPr>
          <w:rFonts w:ascii="Aptos" w:hAnsi="Aptos" w:cs="Aptos" w:eastAsia="Aptos"/>
          <w:b w:val="0"/>
          <w:i w:val="0"/>
          <w:color w:val="2B2B2B"/>
          <w:sz w:val="20"/>
        </w:rPr>
        <w:t xml:space="preserve">O chão dado não foi «a habitação» em geral, foi a </w:t>
      </w:r>
      <w:r>
        <w:rPr>
          <w:rFonts w:ascii="Aptos" w:hAnsi="Aptos" w:cs="Aptos" w:eastAsia="Aptos"/>
          <w:b/>
          <w:i w:val="0"/>
          <w:color w:val="2B2B2B"/>
          <w:sz w:val="20"/>
        </w:rPr>
        <w:t>fração autónoma</w:t>
      </w:r>
      <w:r>
        <w:rPr>
          <w:rFonts w:ascii="Aptos" w:hAnsi="Aptos" w:cs="Aptos" w:eastAsia="Aptos"/>
          <w:b w:val="0"/>
          <w:i w:val="0"/>
          <w:color w:val="2B2B2B"/>
          <w:sz w:val="20"/>
        </w:rPr>
        <w:t xml:space="preserve"> — precisamente o espaço onde a diferenciação material é impossível. Numa moradia com logradouro podem construir-se as instalações individualizadas do artigo 25.º; num apartamento não podem. O critério da exclusão acompanha a possibilidade de separação física, que é o critério do próprio artigo 25.º.</w:t>
      </w:r>
    </w:p>
    <w:p>
      <w:pPr>
        <w:spacing w:before="0" w:after="140" w:line="293" w:lineRule="auto"/>
        <w:jc w:val="both"/>
      </w:pPr>
      <w:r>
        <w:rPr>
          <w:rFonts w:ascii="Aptos" w:hAnsi="Aptos" w:cs="Aptos" w:eastAsia="Aptos"/>
          <w:b w:val="0"/>
          <w:i w:val="0"/>
          <w:color w:val="2B2B2B"/>
          <w:sz w:val="20"/>
        </w:rPr>
        <w:t>Quanto à função, a al. p) fecha uma via de fuga. Sem ela, quem tivesse vinte cães num apartamento poderia sustentar que não é detentor doméstico sujeito ao n.º 2 do artigo 3.º do Decreto-Lei n.º 314/2003, mas titular de um alojamento de hospedagem sem fins lucrativos ao abrigo do Decreto-Lei n.º 276/2001, e reclamar licença nessa qualidade. O legislador de 17 de dezembro de 2003 tapou essa via no mesmo dia em que publicou os limites por fogo. Para a hospedagem lucrativa nada havia a tapar: a licença de funcionamento, com parecer da DRA, e os requisitos do artigo 25.º já filtravam os apartamentos.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O preâmbulo do Decreto-Lei n.º 315/2003 nada diz sobre este ponto. Declara três propósitos: retirar do Decreto-Lei n.º 276/2001 as normas sobre animais potencialmente perigosos, «proceder a rectificações ao seu texto, o qual foi publicado com algumas inexactidões», e «acrescentar aspectos que reforçam as normas de bem-estar dos animais de companhia». O que fica dito em 14.3 é inferência a partir do texto e do contexto, não intenção documentada.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14.4  </w:t>
      </w:r>
      <w:r>
        <w:rPr>
          <w:rFonts w:ascii="Aptos" w:hAnsi="Aptos" w:cs="Aptos" w:eastAsia="Aptos"/>
          <w:b/>
          <w:i w:val="0"/>
          <w:color w:val="35506B"/>
          <w:sz w:val="21"/>
        </w:rPr>
        <w:t>O argumento decisivo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remissão prova que o legislador </w:t>
            </w:r>
            <w:r>
              <w:rPr>
                <w:rFonts w:ascii="Aptos" w:hAnsi="Aptos" w:cs="Aptos" w:eastAsia="Aptos"/>
                <w:b/>
                <w:i w:val="0"/>
                <w:color w:val="2B2B2B"/>
                <w:sz w:val="20"/>
              </w:rPr>
              <w:t>sabia cruzar os dois diplomas e sabia como se faz</w:t>
            </w:r>
            <w:r>
              <w:rPr>
                <w:rFonts w:ascii="Aptos" w:hAnsi="Aptos" w:cs="Aptos" w:eastAsia="Aptos"/>
                <w:b w:val="0"/>
                <w:i w:val="0"/>
                <w:color w:val="2B2B2B"/>
                <w:sz w:val="20"/>
              </w:rPr>
              <w:t>. Fê-lo expressamente uma única vez, para um efeito estreitíssimo, e não o fez para aquilo que verdadeiramente importaria — mandar os números do n.º 2 valerem como lotação dos alojamentos. Onde o legislador falou uma vez e calou no resto, o silêncio é qualificado.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Não se localizou doutrina, jurisprudência nem parecer que se debruce sobre esta remissão. A revisão crítica legislativa da Associação Portuguesa de Médicos Veterinários Especialistas em Animais de Companhia, de abril de 2021, percorre ambos os diplomas e trata do artigo 3.º do Decreto-Lei n.º 314/2003 e das definições do Decreto-Lei n.º 276/2001, mas não a menciona.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15.  </w:t>
      </w:r>
      <w:r>
        <w:rPr>
          <w:rFonts w:ascii="Aptos" w:hAnsi="Aptos" w:cs="Aptos" w:eastAsia="Aptos"/>
          <w:b/>
          <w:i w:val="0"/>
          <w:color w:val="35506B"/>
          <w:sz w:val="27"/>
        </w:rPr>
        <w:t>Os prédios rústicos e mistos: a assimetria dos n.ºs 2 e 4</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4 é, à primeira vista, o melhor argumento a favor da aplicação dos limites aos estabelecimentos — gradua o número pelo espaço, que é a lógica das normas de lotação. Mas é também o que a destrói: </w:t>
            </w:r>
            <w:r>
              <w:rPr>
                <w:rFonts w:ascii="Aptos" w:hAnsi="Aptos" w:cs="Aptos" w:eastAsia="Aptos"/>
                <w:b/>
                <w:i w:val="0"/>
                <w:color w:val="2B2B2B"/>
                <w:sz w:val="20"/>
              </w:rPr>
              <w:t>uma norma que não fixa número nenhum não pode ser a norma de lotação de coisa alguma.</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15.1  </w:t>
      </w:r>
      <w:r>
        <w:rPr>
          <w:rFonts w:ascii="Aptos" w:hAnsi="Aptos" w:cs="Aptos" w:eastAsia="Aptos"/>
          <w:b/>
          <w:i w:val="0"/>
          <w:color w:val="35506B"/>
          <w:sz w:val="21"/>
        </w:rPr>
        <w:t>Duas unidades de contagem dentro do mesmo artigo</w:t>
      </w:r>
    </w:p>
    <w:p>
      <w:pPr>
        <w:spacing w:before="0" w:after="140" w:line="293" w:lineRule="auto"/>
        <w:jc w:val="both"/>
      </w:pPr>
      <w:r>
        <w:rPr>
          <w:rFonts w:ascii="Aptos" w:hAnsi="Aptos" w:cs="Aptos" w:eastAsia="Aptos"/>
          <w:b w:val="0"/>
          <w:i w:val="0"/>
          <w:color w:val="2B2B2B"/>
          <w:sz w:val="20"/>
        </w:rPr>
        <w:t xml:space="preserve">O n.º 2 conta por </w:t>
      </w:r>
      <w:r>
        <w:rPr>
          <w:rFonts w:ascii="Aptos" w:hAnsi="Aptos" w:cs="Aptos" w:eastAsia="Aptos"/>
          <w:b/>
          <w:i w:val="0"/>
          <w:color w:val="2B2B2B"/>
          <w:sz w:val="20"/>
        </w:rPr>
        <w:t>fogo</w:t>
      </w:r>
      <w:r>
        <w:rPr>
          <w:rFonts w:ascii="Aptos" w:hAnsi="Aptos" w:cs="Aptos" w:eastAsia="Aptos"/>
          <w:b w:val="0"/>
          <w:i w:val="0"/>
          <w:color w:val="2B2B2B"/>
          <w:sz w:val="20"/>
        </w:rPr>
        <w:t xml:space="preserve">; o n.º 4 conta por </w:t>
      </w:r>
      <w:r>
        <w:rPr>
          <w:rFonts w:ascii="Aptos" w:hAnsi="Aptos" w:cs="Aptos" w:eastAsia="Aptos"/>
          <w:b/>
          <w:i w:val="0"/>
          <w:color w:val="2B2B2B"/>
          <w:sz w:val="20"/>
        </w:rPr>
        <w:t>prédio</w:t>
      </w:r>
      <w:r>
        <w:rPr>
          <w:rFonts w:ascii="Aptos" w:hAnsi="Aptos" w:cs="Aptos" w:eastAsia="Aptos"/>
          <w:b w:val="0"/>
          <w:i w:val="0"/>
          <w:color w:val="2B2B2B"/>
          <w:sz w:val="20"/>
        </w:rPr>
        <w:t>. O mesmo artigo usa duas unidades diferentes, e a razão é simples: o prédio rústico não tem, por definição, fogo. Esta é a primeira consequência a extrair, e vale contra a leitura predial do n.º 2 — se o legislador quisesse contar por prédio no n.º 2, tinha a palavra à mão e usou-a três números adiante.</w:t>
      </w:r>
    </w:p>
    <w:p>
      <w:pPr>
        <w:keepNext/>
        <w:spacing w:before="260" w:after="80" w:line="293" w:lineRule="auto"/>
      </w:pPr>
      <w:r>
        <w:rPr>
          <w:rFonts w:ascii="Aptos" w:hAnsi="Aptos" w:cs="Aptos" w:eastAsia="Aptos"/>
          <w:b/>
          <w:i w:val="0"/>
          <w:color w:val="7C8894"/>
          <w:sz w:val="21"/>
        </w:rPr>
        <w:t xml:space="preserve">15.2  </w:t>
      </w:r>
      <w:r>
        <w:rPr>
          <w:rFonts w:ascii="Aptos" w:hAnsi="Aptos" w:cs="Aptos" w:eastAsia="Aptos"/>
          <w:b/>
          <w:i w:val="0"/>
          <w:color w:val="35506B"/>
          <w:sz w:val="21"/>
        </w:rPr>
        <w:t>O n.º 4 não fixa número, e não tem controlo prévio</w:t>
      </w:r>
    </w:p>
    <w:p>
      <w:pPr>
        <w:spacing w:before="0" w:after="140" w:line="293" w:lineRule="auto"/>
        <w:jc w:val="both"/>
      </w:pPr>
      <w:r>
        <w:rPr>
          <w:rFonts w:ascii="Aptos" w:hAnsi="Aptos" w:cs="Aptos" w:eastAsia="Aptos"/>
          <w:b w:val="0"/>
          <w:i w:val="0"/>
          <w:color w:val="2B2B2B"/>
          <w:sz w:val="20"/>
        </w:rPr>
        <w:t>O n.º 2 fixa quatro animais, elevável a seis, e exige para isso parecer vinculativo do médico veterinário municipal e do delegado de saúde. O n.º 4 fixa seis, «podendo tal número ser excedido se a dimensão do terreno o permitir», e não exige parecer, autorização ou comunicação de espécie alguma. O único travão é o n.º 1 — boas condições e ausência de riscos hígio-sanitários. Não há teto e não há porteiro.</w:t>
      </w:r>
    </w:p>
    <w:p>
      <w:pPr>
        <w:spacing w:before="0" w:after="140" w:line="293" w:lineRule="auto"/>
        <w:jc w:val="both"/>
      </w:pPr>
      <w:r>
        <w:rPr>
          <w:rFonts w:ascii="Aptos" w:hAnsi="Aptos" w:cs="Aptos" w:eastAsia="Aptos"/>
          <w:b w:val="0"/>
          <w:i w:val="0"/>
          <w:color w:val="2B2B2B"/>
          <w:sz w:val="20"/>
        </w:rPr>
        <w:t>O Tribunal Central Administrativo Sul confirmou-o: incumbe à Administração «aferir sempre se o prédio onde se encontram alojados animais permite ou não o enquadramento na situação especial contida na norma» — acórdão de 4 de fevereiro de 2010, transcrito no ponto 11.1.</w:t>
      </w:r>
    </w:p>
    <w:p>
      <w:pPr>
        <w:keepNext/>
        <w:spacing w:before="260" w:after="80" w:line="293" w:lineRule="auto"/>
      </w:pPr>
      <w:r>
        <w:rPr>
          <w:rFonts w:ascii="Aptos" w:hAnsi="Aptos" w:cs="Aptos" w:eastAsia="Aptos"/>
          <w:b/>
          <w:i w:val="0"/>
          <w:color w:val="7C8894"/>
          <w:sz w:val="21"/>
        </w:rPr>
        <w:t xml:space="preserve">15.3  </w:t>
      </w:r>
      <w:r>
        <w:rPr>
          <w:rFonts w:ascii="Aptos" w:hAnsi="Aptos" w:cs="Aptos" w:eastAsia="Aptos"/>
          <w:b/>
          <w:i w:val="0"/>
          <w:color w:val="35506B"/>
          <w:sz w:val="21"/>
        </w:rPr>
        <w:t>A consequência decisiva</w:t>
      </w:r>
    </w:p>
    <w:p>
      <w:pPr>
        <w:spacing w:before="0" w:after="140" w:line="293" w:lineRule="auto"/>
        <w:jc w:val="both"/>
      </w:pPr>
      <w:r>
        <w:rPr>
          <w:rFonts w:ascii="Aptos" w:hAnsi="Aptos" w:cs="Aptos" w:eastAsia="Aptos"/>
          <w:b w:val="0"/>
          <w:i w:val="0"/>
          <w:color w:val="2B2B2B"/>
          <w:sz w:val="20"/>
        </w:rPr>
        <w:t>O ponto 6.3 registou, entre os elementos favoráveis à aplicação, que o n.º 4 tem estrutura de norma de capacidade. É verdade quanto à forma e falso quanto ao efeito. Uma norma de lotação diz quantos cabem; o n.º 4 diz que cabem seis, ou mais, consoante o terreno, sem limite superior e sem quem o verifique antes. Se o artigo 3.º fosse a norma de lotação dos alojamentos, um alojamento registado num prédio urbano teria lotação de quatro animais e um alojamento registado num prédio rústico teria lotação ilimitada.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Nenhum regime de capacidade de estabelecimentos funciona assim. A lotação dos alojamentos tem regime próprio e mensurável — o n.º 1 do artigo 27.º do Decreto-Lei n.º 276/2001 e as tabelas do anexo III, que fixam superfícies mínimas por animal. O artigo 3.º gradua densidade doméstica; o anexo III mede capacidade. São operações diferentes.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15.4  </w:t>
      </w:r>
      <w:r>
        <w:rPr>
          <w:rFonts w:ascii="Aptos" w:hAnsi="Aptos" w:cs="Aptos" w:eastAsia="Aptos"/>
          <w:b/>
          <w:i w:val="0"/>
          <w:color w:val="35506B"/>
          <w:sz w:val="21"/>
        </w:rPr>
        <w:t>A fronteira é fiscal, e isso agrava o problema</w:t>
      </w:r>
    </w:p>
    <w:p>
      <w:pPr>
        <w:spacing w:before="0" w:after="140" w:line="293" w:lineRule="auto"/>
        <w:jc w:val="both"/>
      </w:pPr>
      <w:r>
        <w:rPr>
          <w:rFonts w:ascii="Aptos" w:hAnsi="Aptos" w:cs="Aptos" w:eastAsia="Aptos"/>
          <w:b w:val="0"/>
          <w:i w:val="0"/>
          <w:color w:val="2B2B2B"/>
          <w:sz w:val="20"/>
        </w:rPr>
        <w:t xml:space="preserve">Lido como teto predial, o n.º 2 faria a licitude depender da </w:t>
      </w:r>
      <w:r>
        <w:rPr>
          <w:rFonts w:ascii="Aptos" w:hAnsi="Aptos" w:cs="Aptos" w:eastAsia="Aptos"/>
          <w:b/>
          <w:i w:val="0"/>
          <w:color w:val="2B2B2B"/>
          <w:sz w:val="20"/>
        </w:rPr>
        <w:t>inscrição matricial</w:t>
      </w:r>
      <w:r>
        <w:rPr>
          <w:rFonts w:ascii="Aptos" w:hAnsi="Aptos" w:cs="Aptos" w:eastAsia="Aptos"/>
          <w:b w:val="0"/>
          <w:i w:val="0"/>
          <w:color w:val="2B2B2B"/>
          <w:sz w:val="20"/>
        </w:rPr>
        <w:t xml:space="preserve"> — categorias dos artigos 2.º a 6.º do Código do Imposto Municipal sobre Imóveis, de natureza fiscal, sem qualquer conexão material com o bem jurídico protegido pelo n.º 1, que é a salubridade e a prevenção de doenças transmissíveis ao homem. Duas situações fisicamente idênticas — a mesma moradia, o mesmo quintal, os mesmos animais, as mesmas condições — teriam tratamento distinto consoante a inscrição na matriz: quatro animais se o prédio for urbano, seis ou mais se for misto.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Precisão quanto ao logradouro.</w:t>
            </w:r>
            <w:r>
              <w:rPr>
                <w:rFonts w:ascii="Aptos" w:hAnsi="Aptos" w:cs="Aptos" w:eastAsia="Aptos"/>
                <w:b w:val="0"/>
                <w:i w:val="0"/>
                <w:color w:val="2B2B2B"/>
                <w:sz w:val="19"/>
              </w:rPr>
              <w:t xml:space="preserve"> O logradouro de uma moradia integra o prédio urbano, entrando na avaliação como área de terreno livre. Não converte o conjunto em prédio misto: o artigo 5.º do Código do Imposto Municipal sobre Imóveis exige, para essa qualificação, que nenhuma das partes seja a principal. A área do quintal é, por isso, juridicamente irrelevante para o n.º 2.</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15.5  </w:t>
      </w:r>
      <w:r>
        <w:rPr>
          <w:rFonts w:ascii="Aptos" w:hAnsi="Aptos" w:cs="Aptos" w:eastAsia="Aptos"/>
          <w:b/>
          <w:i w:val="0"/>
          <w:color w:val="35506B"/>
          <w:sz w:val="21"/>
        </w:rPr>
        <w:t>A lacuna sancionatória no prédio rústico</w:t>
      </w:r>
    </w:p>
    <w:p>
      <w:pPr>
        <w:spacing w:before="0" w:after="140" w:line="293" w:lineRule="auto"/>
        <w:jc w:val="both"/>
      </w:pPr>
      <w:r>
        <w:rPr>
          <w:rFonts w:ascii="Aptos" w:hAnsi="Aptos" w:cs="Aptos" w:eastAsia="Aptos"/>
          <w:b w:val="0"/>
          <w:i w:val="0"/>
          <w:color w:val="2B2B2B"/>
          <w:sz w:val="20"/>
        </w:rPr>
        <w:t xml:space="preserve">Das sete alíneas do n.º 3 do artigo 14.º, só a al. c) remete para o artigo 3.º, e o seu objeto é «a permanência de cães e gatos em </w:t>
      </w:r>
      <w:r>
        <w:rPr>
          <w:rFonts w:ascii="Aptos" w:hAnsi="Aptos" w:cs="Aptos" w:eastAsia="Aptos"/>
          <w:b/>
          <w:i w:val="0"/>
          <w:color w:val="2B2B2B"/>
          <w:sz w:val="20"/>
        </w:rPr>
        <w:t>habitações e terrenos anexos</w:t>
      </w:r>
      <w:r>
        <w:rPr>
          <w:rFonts w:ascii="Aptos" w:hAnsi="Aptos" w:cs="Aptos" w:eastAsia="Aptos"/>
          <w:b w:val="0"/>
          <w:i w:val="0"/>
          <w:color w:val="2B2B2B"/>
          <w:sz w:val="20"/>
        </w:rPr>
        <w:t xml:space="preserve"> em desrespeito pelas condições previstas no artigo 3.º». Num prédio rústico sem habitação não há habitação, nem terreno anexo a habitação alguma.</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o n.º 4 é </w:t>
            </w:r>
            <w:r>
              <w:rPr>
                <w:rFonts w:ascii="Aptos" w:hAnsi="Aptos" w:cs="Aptos" w:eastAsia="Aptos"/>
                <w:b/>
                <w:i w:val="0"/>
                <w:color w:val="2B2B2B"/>
                <w:sz w:val="20"/>
              </w:rPr>
              <w:t>norma sem sanção</w:t>
            </w:r>
            <w:r>
              <w:rPr>
                <w:rFonts w:ascii="Aptos" w:hAnsi="Aptos" w:cs="Aptos" w:eastAsia="Aptos"/>
                <w:b w:val="0"/>
                <w:i w:val="0"/>
                <w:color w:val="2B2B2B"/>
                <w:sz w:val="20"/>
              </w:rPr>
              <w:t>. O incumprimento aciona o n.º 5 — vistoria conjunta e notificação para remoção —, mas não é contraordenação. É mais um indício de que o artigo 3.º foi pensado a partir da casa, e que o n.º 4 é a sua extensão ao meio rural, não uma norma sobre estabelecimentos.</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15.6  </w:t>
      </w:r>
      <w:r>
        <w:rPr>
          <w:rFonts w:ascii="Aptos" w:hAnsi="Aptos" w:cs="Aptos" w:eastAsia="Aptos"/>
          <w:b/>
          <w:i w:val="0"/>
          <w:color w:val="35506B"/>
          <w:sz w:val="21"/>
        </w:rPr>
        <w:t>Resposta à questão 3</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O n.º 4 aplica-se a quem detém animais em prédio rústico ou misto, e o limite de seis é indicativo: cede perante a dimensão do terreno, sem teto e sem autorização prévia.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A elasticidade não é defeito de redação: é a marca de uma norma de </w:t>
      </w:r>
      <w:r>
        <w:rPr>
          <w:rFonts w:ascii="Aptos" w:hAnsi="Aptos" w:cs="Aptos" w:eastAsia="Aptos"/>
          <w:b/>
          <w:i w:val="0"/>
          <w:color w:val="2B2B2B"/>
          <w:sz w:val="20"/>
        </w:rPr>
        <w:t>densidade</w:t>
      </w:r>
      <w:r>
        <w:rPr>
          <w:rFonts w:ascii="Aptos" w:hAnsi="Aptos" w:cs="Aptos" w:eastAsia="Aptos"/>
          <w:b w:val="0"/>
          <w:i w:val="0"/>
          <w:color w:val="2B2B2B"/>
          <w:sz w:val="20"/>
        </w:rPr>
        <w:t xml:space="preserve">, que mede animais contra espaço disponível, e não de uma norma de </w:t>
      </w:r>
      <w:r>
        <w:rPr>
          <w:rFonts w:ascii="Aptos" w:hAnsi="Aptos" w:cs="Aptos" w:eastAsia="Aptos"/>
          <w:b/>
          <w:i w:val="0"/>
          <w:color w:val="2B2B2B"/>
          <w:sz w:val="20"/>
        </w:rPr>
        <w:t>capacidade</w:t>
      </w:r>
      <w:r>
        <w:rPr>
          <w:rFonts w:ascii="Aptos" w:hAnsi="Aptos" w:cs="Aptos" w:eastAsia="Aptos"/>
          <w:b w:val="0"/>
          <w:i w:val="0"/>
          <w:color w:val="2B2B2B"/>
          <w:sz w:val="20"/>
        </w:rPr>
        <w:t>, que fixa um número.</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Por isso o n.º 4 não fixa a lotação de um alojamento registado instalado em prédio rústico — não fixa lotação nenhuma. A capacidade desse alojamento resulta do n.º 1 do artigo 27.º do Decreto-Lei n.º 276/2001 e do anexo III.</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A assimetria entre os n.ºs 2 e 4 dissolve-se pela leitura do fogo. Mantida a leitura predial, a assimetria torna-se arbitrária, porque passa a depender da matriz fiscal.</w:t>
      </w:r>
    </w:p>
    <w:p>
      <w:pPr>
        <w:keepNext/>
        <w:spacing w:before="260" w:after="80" w:line="293" w:lineRule="auto"/>
      </w:pPr>
      <w:r>
        <w:rPr>
          <w:rFonts w:ascii="Aptos" w:hAnsi="Aptos" w:cs="Aptos" w:eastAsia="Aptos"/>
          <w:b/>
          <w:i w:val="0"/>
          <w:color w:val="7C8894"/>
          <w:sz w:val="21"/>
        </w:rPr>
        <w:t xml:space="preserve">15.7  </w:t>
      </w:r>
      <w:r>
        <w:rPr>
          <w:rFonts w:ascii="Aptos" w:hAnsi="Aptos" w:cs="Aptos" w:eastAsia="Aptos"/>
          <w:b/>
          <w:i w:val="0"/>
          <w:color w:val="35506B"/>
          <w:sz w:val="21"/>
        </w:rPr>
        <w:t>O detentor não declarado, em prédio rústico ou misto</w:t>
      </w:r>
    </w:p>
    <w:p>
      <w:pPr>
        <w:spacing w:before="0" w:after="140" w:line="293" w:lineRule="auto"/>
        <w:jc w:val="both"/>
      </w:pPr>
      <w:r>
        <w:rPr>
          <w:rFonts w:ascii="Aptos" w:hAnsi="Aptos" w:cs="Aptos" w:eastAsia="Aptos"/>
          <w:b w:val="0"/>
          <w:i w:val="0"/>
          <w:color w:val="2B2B2B"/>
          <w:sz w:val="20"/>
        </w:rPr>
        <w:t>A questão 3 tem uma face prática que a sua formulação não revela: quem detém um número muito elevado de animais em prédio rústico ou misto, sem declarar atividade e sem registar alojamento, está sujeito a quê, e quem o controla?</w:t>
      </w:r>
    </w:p>
    <w:p>
      <w:pPr>
        <w:keepNext/>
        <w:spacing w:before="200" w:after="60" w:line="293" w:lineRule="auto"/>
      </w:pPr>
      <w:r>
        <w:rPr>
          <w:rFonts w:ascii="Aptos" w:hAnsi="Aptos" w:cs="Aptos" w:eastAsia="Aptos"/>
          <w:b/>
          <w:i w:val="0"/>
          <w:color w:val="5C7891"/>
          <w:sz w:val="19"/>
        </w:rPr>
        <w:t>O gatilho do regime é a atividade, nunca o número</w:t>
      </w:r>
    </w:p>
    <w:p>
      <w:pPr>
        <w:spacing w:before="0" w:after="140" w:line="293" w:lineRule="auto"/>
        <w:jc w:val="both"/>
      </w:pPr>
      <w:r>
        <w:rPr>
          <w:rFonts w:ascii="Aptos" w:hAnsi="Aptos" w:cs="Aptos" w:eastAsia="Aptos"/>
          <w:b w:val="0"/>
          <w:i w:val="0"/>
          <w:color w:val="2B2B2B"/>
          <w:sz w:val="20"/>
        </w:rPr>
        <w:t>O que faz nascer a obrigação de comunicação prévia é o exercício de uma atividade — hospedagem, criação comercial, venda —, nos termos da al. a) do n.º 1 do artigo 3.º do Decreto-Lei n.º 276/2001. A al. q) do n.º 1 do artigo 2.º exige, para a hospedagem com fins lucrativos, que o alojamento «vise interesses comerciais ou lucrativos». Quem acumula sem fim lucrativo nunca tem alojamento a comunicar, tenha dez animais ou duzentos.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20"/>
              </w:rPr>
              <w:t>O número, por si, não desencadeia obrigação nenhuma de registo.</w:t>
            </w:r>
            <w:r>
              <w:rPr>
                <w:rFonts w:ascii="Aptos" w:hAnsi="Aptos" w:cs="Aptos" w:eastAsia="Aptos"/>
                <w:b w:val="0"/>
                <w:i w:val="0"/>
                <w:color w:val="2B2B2B"/>
                <w:sz w:val="20"/>
              </w:rPr>
              <w:t xml:space="preserve"> É a peça estrutural do problema, e vale igualmente para prédios rústicos e mistos.</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Não declarar não isenta quem efetivamente exerce a atividade: a falta da mera comunicação prévia é contraordenação económica grave, nos termos da al. a) do n.º 1 do artigo 68.º. Mas se não há fim lucrativo, não há infração nesse plano, e a fiscalização fica sem porta de entrada.</w:t>
      </w:r>
    </w:p>
    <w:p>
      <w:pPr>
        <w:keepNext/>
        <w:spacing w:before="200" w:after="60" w:line="293" w:lineRule="auto"/>
      </w:pPr>
      <w:r>
        <w:rPr>
          <w:rFonts w:ascii="Aptos" w:hAnsi="Aptos" w:cs="Aptos" w:eastAsia="Aptos"/>
          <w:b/>
          <w:i w:val="0"/>
          <w:color w:val="5C7891"/>
          <w:sz w:val="19"/>
        </w:rPr>
        <w:t>O que se aplica mesmo sem registo, e o que não se aplica</w:t>
      </w:r>
    </w:p>
    <w:p>
      <w:pPr>
        <w:spacing w:before="0" w:after="140" w:line="293" w:lineRule="auto"/>
        <w:jc w:val="both"/>
      </w:pPr>
      <w:r>
        <w:rPr>
          <w:rFonts w:ascii="Aptos" w:hAnsi="Aptos" w:cs="Aptos" w:eastAsia="Aptos"/>
          <w:b w:val="0"/>
          <w:i w:val="0"/>
          <w:color w:val="2B2B2B"/>
          <w:sz w:val="20"/>
        </w:rPr>
        <w:t xml:space="preserve">O Decreto-Lei n.º 276/2001 tem dois andares, e a distinção é decisiva. O </w:t>
      </w:r>
      <w:r>
        <w:rPr>
          <w:rFonts w:ascii="Aptos" w:hAnsi="Aptos" w:cs="Aptos" w:eastAsia="Aptos"/>
          <w:b/>
          <w:i w:val="0"/>
          <w:color w:val="2B2B2B"/>
          <w:sz w:val="20"/>
        </w:rPr>
        <w:t>Capítulo II</w:t>
      </w:r>
      <w:r>
        <w:rPr>
          <w:rFonts w:ascii="Aptos" w:hAnsi="Aptos" w:cs="Aptos" w:eastAsia="Aptos"/>
          <w:b w:val="0"/>
          <w:i w:val="0"/>
          <w:color w:val="2B2B2B"/>
          <w:sz w:val="20"/>
        </w:rPr>
        <w:t xml:space="preserve">, sob a epígrafe «Normas gerais de detenção, alojamento, maneio, intervenções cirúrgicas, captura e abate», vincula qualquer detentor: o artigo 6.º impõe o dever especial de cuidado a «o detentor do animal», e o artigo 8.º, sob a epígrafe «Condições dos alojamentos», dispõe que «os animais devem dispor do espaço adequado às suas necessidades fisiológicas e etológicas». Os </w:t>
      </w:r>
      <w:r>
        <w:rPr>
          <w:rFonts w:ascii="Aptos" w:hAnsi="Aptos" w:cs="Aptos" w:eastAsia="Aptos"/>
          <w:b/>
          <w:i w:val="0"/>
          <w:color w:val="2B2B2B"/>
          <w:sz w:val="20"/>
        </w:rPr>
        <w:t>Capítulos III a VI</w:t>
      </w:r>
      <w:r>
        <w:rPr>
          <w:rFonts w:ascii="Aptos" w:hAnsi="Aptos" w:cs="Aptos" w:eastAsia="Aptos"/>
          <w:b w:val="0"/>
          <w:i w:val="0"/>
          <w:color w:val="2B2B2B"/>
          <w:sz w:val="20"/>
        </w:rPr>
        <w:t xml:space="preserve"> dependem da atividade — o artigo 24.º abre precisamente com «os detentores de animais de companhia que se dediquem à sua reprodução, criação, manutenção ou venda devem cumprir as condições previstas no presente capítulo».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Consequência a reter.</w:t>
            </w:r>
            <w:r>
              <w:rPr>
                <w:rFonts w:ascii="Aptos" w:hAnsi="Aptos" w:cs="Aptos" w:eastAsia="Aptos"/>
                <w:b w:val="0"/>
                <w:i w:val="0"/>
                <w:color w:val="2B2B2B"/>
                <w:sz w:val="19"/>
              </w:rPr>
              <w:t xml:space="preserve"> As tabelas do anexo III, para que remete o n.º 1 do artigo 27.º, estão no Capítulo III e </w:t>
            </w:r>
            <w:r>
              <w:rPr>
                <w:rFonts w:ascii="Aptos" w:hAnsi="Aptos" w:cs="Aptos" w:eastAsia="Aptos"/>
                <w:b/>
                <w:i w:val="0"/>
                <w:color w:val="2B2B2B"/>
                <w:sz w:val="19"/>
              </w:rPr>
              <w:t>não vinculam o detentor doméstico</w:t>
            </w:r>
            <w:r>
              <w:rPr>
                <w:rFonts w:ascii="Aptos" w:hAnsi="Aptos" w:cs="Aptos" w:eastAsia="Aptos"/>
                <w:b w:val="0"/>
                <w:i w:val="0"/>
                <w:color w:val="2B2B2B"/>
                <w:sz w:val="19"/>
              </w:rPr>
              <w:t>. Podem servir de referência técnica numa vistoria, não de norma aplicável. E o artigo 8.º, esse sim de aplicação geral, é puramente qualitativo: não contém número algum.</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Em parte alguma do sistema existe um número para o detentor não comercial em prédio rústico ou misto. O artigo 8.º é qualitativo, o anexo III não lhe é aplicável, e o n.º 4 do artigo 3.º do Decreto-Lei n.º 314/2003 é elástico. </w:t>
            </w:r>
            <w:r>
              <w:rPr>
                <w:rFonts w:ascii="Aptos" w:hAnsi="Aptos" w:cs="Aptos" w:eastAsia="Aptos"/>
                <w:b/>
                <w:i w:val="0"/>
                <w:color w:val="2B2B2B"/>
                <w:sz w:val="20"/>
              </w:rPr>
              <w:t>O limite é o n.º 1 do artigo 3.º, aferido por vistoria.</w:t>
            </w:r>
          </w:p>
        </w:tc>
      </w:tr>
    </w:tbl>
    <w:p>
      <w:pPr>
        <w:spacing w:before="0" w:after="180" w:line="293" w:lineRule="auto"/>
      </w:pPr>
    </w:p>
    <w:p>
      <w:pPr>
        <w:keepNext/>
        <w:spacing w:before="200" w:after="60" w:line="293" w:lineRule="auto"/>
      </w:pPr>
      <w:r>
        <w:rPr>
          <w:rFonts w:ascii="Aptos" w:hAnsi="Aptos" w:cs="Aptos" w:eastAsia="Aptos"/>
          <w:b/>
          <w:i w:val="0"/>
          <w:color w:val="5C7891"/>
          <w:sz w:val="19"/>
        </w:rPr>
        <w:t>Os instrumentos de controlo existentes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Instrumento</w:t>
            </w:r>
          </w:p>
        </w:tc>
        <w:tc>
          <w:tcPr>
            <w:tcW w:type="dxa" w:w="306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272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Natureza</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Vistoria conjunta do delegado de saúde e do médico veterinário municipal, com notificação para remoção dos animais</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5 do artigo 3.º do Decreto-Lei n.º 314/2003</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 — depende de queixa</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Mandado judicial, em caso de obstrução à remoção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6 do artigo 3.º do Decreto-Lei n.º 314/2003</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Reativo</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Identificação e registo obrigatórios de cães, gatos e furões no SIAC</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82/2019, de 27 de junho</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único com aptidão preventiva: liga cada animal a um titular</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 em desrespeito das condições do diploma — por via do Capítulo II</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1 do artigo 68.º do Decreto-Lei n.º 276/2001</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Aplica-se a qualquer detentor</w:t>
            </w:r>
          </w:p>
        </w:tc>
      </w:tr>
      <w:tr>
        <w:trPr>
          <w:cantSplit/>
        </w:trPr>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Falta de comunicação prévia, havendo atividade</w:t>
            </w:r>
          </w:p>
        </w:tc>
        <w:tc>
          <w:tcPr>
            <w:tcW w:type="dxa" w:w="306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1 do artigo 68.º do Decreto-Lei n.º 276/2001</w:t>
            </w:r>
          </w:p>
        </w:tc>
        <w:tc>
          <w:tcPr>
            <w:tcW w:type="dxa" w:w="272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Só se houver fim lucrativo</w:t>
            </w:r>
          </w:p>
        </w:tc>
      </w:tr>
      <w:tr>
        <w:trPr>
          <w:cantSplit/>
        </w:trPr>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Vacinação antirrábica, cães perigosos, ordenamento e ruído</w:t>
            </w:r>
          </w:p>
        </w:tc>
        <w:tc>
          <w:tcPr>
            <w:tcW w:type="dxa" w:w="306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Vários</w:t>
            </w:r>
          </w:p>
        </w:tc>
        <w:tc>
          <w:tcPr>
            <w:tcW w:type="dxa" w:w="272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Laterais</w:t>
            </w:r>
          </w:p>
        </w:tc>
      </w:tr>
    </w:tbl>
    <w:p>
      <w:pPr>
        <w:spacing w:before="40" w:after="180" w:line="293" w:lineRule="auto"/>
      </w:pPr>
    </w:p>
    <w:p>
      <w:pPr>
        <w:spacing w:before="0" w:after="140" w:line="293" w:lineRule="auto"/>
        <w:jc w:val="both"/>
      </w:pPr>
      <w:r>
        <w:rPr>
          <w:rFonts w:ascii="Aptos" w:hAnsi="Aptos" w:cs="Aptos" w:eastAsia="Aptos"/>
          <w:b w:val="0"/>
          <w:i w:val="0"/>
          <w:color w:val="2B2B2B"/>
          <w:sz w:val="20"/>
        </w:rPr>
        <w:t>O SIAC é o único mecanismo com aptidão verdadeiramente preventiva, porque cada animal identificado fica ligado a um titular e a base permite contar. Mas só vê os animais identificados, e quem não declara atividade tende também a não identificar.</w:t>
      </w:r>
    </w:p>
    <w:p>
      <w:pPr>
        <w:keepNext/>
        <w:spacing w:before="200" w:after="60" w:line="293" w:lineRule="auto"/>
      </w:pPr>
      <w:r>
        <w:rPr>
          <w:rFonts w:ascii="Aptos" w:hAnsi="Aptos" w:cs="Aptos" w:eastAsia="Aptos"/>
          <w:b/>
          <w:i w:val="0"/>
          <w:color w:val="5C7891"/>
          <w:sz w:val="19"/>
        </w:rPr>
        <w:t>Rústico e misto não são o mesmo caso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rústico sem habitação</w:t>
            </w:r>
          </w:p>
        </w:tc>
        <w:tc>
          <w:tcPr>
            <w:tcW w:type="dxa" w:w="3742"/>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Prédio misto</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Limite numérico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do artigo 3.º — seis, excedíveis conforme o terreno</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4 quanto ao prédio; o n.º 2 tem campo quanto ao fogo da parte urbana</w:t>
            </w:r>
          </w:p>
        </w:tc>
      </w:tr>
      <w:tr>
        <w:trPr>
          <w:cantSplit/>
        </w:trPr>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pela al. c) do n.º 3 do artigo 14.º</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Não há tipo.</w:t>
            </w:r>
            <w:r>
              <w:rPr>
                <w:rFonts w:ascii="Aptos" w:hAnsi="Aptos" w:cs="Aptos" w:eastAsia="Aptos"/>
                <w:b w:val="0"/>
                <w:i w:val="0"/>
                <w:color w:val="2B2B2B"/>
                <w:sz w:val="17"/>
              </w:rPr>
              <w:t xml:space="preserve"> A norma exige «habitações e terrenos anexos», e não há habitação</w:t>
            </w:r>
          </w:p>
        </w:tc>
        <w:tc>
          <w:tcPr>
            <w:tcW w:type="dxa" w:w="3742"/>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Há tipo, pelo menos quanto aos animais na habitação e no terreno anexo a ela</w:t>
            </w:r>
          </w:p>
        </w:tc>
      </w:tr>
      <w:tr>
        <w:trPr>
          <w:cantSplit/>
        </w:trPr>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Remédio disponível</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Apenas a remoção administrativa do n.º 5</w:t>
            </w:r>
          </w:p>
        </w:tc>
        <w:tc>
          <w:tcPr>
            <w:tcW w:type="dxa" w:w="3742"/>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Remoção administrativa e coima</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Ponto por resolver.</w:t>
            </w:r>
            <w:r>
              <w:rPr>
                <w:rFonts w:ascii="Aptos" w:hAnsi="Aptos" w:cs="Aptos" w:eastAsia="Aptos"/>
                <w:b w:val="0"/>
                <w:i w:val="0"/>
                <w:color w:val="2B2B2B"/>
                <w:sz w:val="19"/>
              </w:rPr>
              <w:t xml:space="preserve"> No prédio misto, os animais que se encontrem na parte rústica, afastados da habitação, dificilmente cabem em «habitações e terrenos anexos». A cobertura sancionatória do prédio misto é, por isso, parcial, e a fronteira depende da distância à casa — critério que nenhuma norma fixa.</w:t>
            </w:r>
          </w:p>
        </w:tc>
      </w:tr>
    </w:tbl>
    <w:p>
      <w:pPr>
        <w:spacing w:before="0" w:after="180" w:line="293" w:lineRule="auto"/>
      </w:pPr>
    </w:p>
    <w:p>
      <w:pPr>
        <w:keepNext/>
        <w:spacing w:before="200" w:after="60" w:line="293" w:lineRule="auto"/>
      </w:pPr>
      <w:r>
        <w:rPr>
          <w:rFonts w:ascii="Aptos" w:hAnsi="Aptos" w:cs="Aptos" w:eastAsia="Aptos"/>
          <w:b/>
          <w:i w:val="0"/>
          <w:color w:val="5C7891"/>
          <w:sz w:val="19"/>
        </w:rPr>
        <w:t>A inibição prática da fiscalização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O n.º 5 do artigo 3.º manda notificar o detentor para retirar os animais «para o canil ou gatil municipal». Executar a remoção significa, para o município, </w:t>
            </w:r>
            <w:r>
              <w:rPr>
                <w:rFonts w:ascii="Aptos" w:hAnsi="Aptos" w:cs="Aptos" w:eastAsia="Aptos"/>
                <w:b/>
                <w:i w:val="0"/>
                <w:color w:val="2B2B2B"/>
                <w:sz w:val="20"/>
              </w:rPr>
              <w:t>acolher os animais a suas expensas</w:t>
            </w:r>
            <w:r>
              <w:rPr>
                <w:rFonts w:ascii="Aptos" w:hAnsi="Aptos" w:cs="Aptos" w:eastAsia="Aptos"/>
                <w:b w:val="0"/>
                <w:i w:val="0"/>
                <w:color w:val="2B2B2B"/>
                <w:sz w:val="20"/>
              </w:rPr>
              <w:t>. Um município sem capacidade instalada tem incentivo direto a não agir. O regime confia a fiscalização a quem suporta o custo de a exercer.</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Observação.</w:t>
            </w:r>
            <w:r>
              <w:rPr>
                <w:rFonts w:ascii="Aptos" w:hAnsi="Aptos" w:cs="Aptos" w:eastAsia="Aptos"/>
                <w:b w:val="0"/>
                <w:i w:val="0"/>
                <w:color w:val="2B2B2B"/>
                <w:sz w:val="19"/>
              </w:rPr>
              <w:t xml:space="preserve"> É a lacuna mais séria identificada neste estudo, e é de política legislativa, não de interpretação. O sistema é inteiramente reativo; a acumulação em meio rural pode crescer sem qualquer controlo até que alguém se queixe; e no prédio rústico sem habitação nem sequer há tipo contraordenacional. Uma revisão legislativa que queira resolver a questão central deve resolver também esta, sob pena de fixar limites que ninguém verifica.</w:t>
            </w:r>
          </w:p>
        </w:tc>
      </w:tr>
    </w:tbl>
    <w:p>
      <w:pPr>
        <w:spacing w:before="0" w:after="180" w:line="293" w:lineRule="auto"/>
      </w:pPr>
    </w:p>
    <w:p>
      <w:pPr>
        <w:keepNext/>
        <w:spacing w:before="360" w:after="40" w:line="293" w:lineRule="auto"/>
      </w:pPr>
      <w:r>
        <w:rPr>
          <w:rFonts w:ascii="Aptos" w:hAnsi="Aptos" w:cs="Aptos" w:eastAsia="Aptos"/>
          <w:b/>
          <w:i w:val="0"/>
          <w:color w:val="5C7891"/>
          <w:sz w:val="27"/>
        </w:rPr>
        <w:t xml:space="preserve">16.  </w:t>
      </w:r>
      <w:r>
        <w:rPr>
          <w:rFonts w:ascii="Aptos" w:hAnsi="Aptos" w:cs="Aptos" w:eastAsia="Aptos"/>
          <w:b/>
          <w:i w:val="0"/>
          <w:color w:val="35506B"/>
          <w:sz w:val="27"/>
        </w:rPr>
        <w:t>O caso residual</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Resta a situação do titular de alojamento registado que mantém os animais integrados na casa, como animais do agregado, e não em instalações diferenciadas.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Nessa hipótese </w:t>
            </w:r>
            <w:r>
              <w:rPr>
                <w:rFonts w:ascii="Aptos" w:hAnsi="Aptos" w:cs="Aptos" w:eastAsia="Aptos"/>
                <w:b/>
                <w:i w:val="0"/>
                <w:color w:val="2B2B2B"/>
                <w:sz w:val="20"/>
              </w:rPr>
              <w:t>o n.º 2 aplica-se</w:t>
            </w:r>
            <w:r>
              <w:rPr>
                <w:rFonts w:ascii="Aptos" w:hAnsi="Aptos" w:cs="Aptos" w:eastAsia="Aptos"/>
                <w:b w:val="0"/>
                <w:i w:val="0"/>
                <w:color w:val="2B2B2B"/>
                <w:sz w:val="20"/>
              </w:rPr>
              <w:t>, e o registo não o afasta. Acima de seis animais adultos dentro do fogo, a letra da lei não oferece caminho: a via do parecer vinculativo até seis é a única que o texto dá. O que desencadeia o n.º 2 é a habitação, não o registo.</w:t>
            </w:r>
          </w:p>
        </w:tc>
      </w:tr>
    </w:tbl>
    <w:p>
      <w:pPr>
        <w:spacing w:before="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É o único ponto em que a resposta não é inteiramente segura e em que a interpretação contrária é sustentável. Não se conhece decisão judicial nem parecer publicado que o tenha resolvido. É também o ponto que uma revisão legislativa deve resolver por via expressa, em vez de o deixar à interpretação.</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17.  </w:t>
      </w:r>
      <w:r>
        <w:rPr>
          <w:rFonts w:ascii="Aptos" w:hAnsi="Aptos" w:cs="Aptos" w:eastAsia="Aptos"/>
          <w:b/>
          <w:i w:val="0"/>
          <w:color w:val="35506B"/>
          <w:sz w:val="27"/>
        </w:rPr>
        <w:t>Questões em aberto e limites da análise</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 xml:space="preserve">Registo das questões cuja resposta condiciona a conclusão. As questões 1 a 3 foram enumeradas pelo grupo; as 4 a 9 resultaram da análise. </w:t>
      </w:r>
      <w:r>
        <w:rPr>
          <w:rFonts w:ascii="Aptos" w:hAnsi="Aptos" w:cs="Aptos" w:eastAsia="Aptos"/>
          <w:b/>
          <w:i w:val="0"/>
          <w:color w:val="2B2B2B"/>
          <w:sz w:val="20"/>
        </w:rPr>
        <w:t>Todas receberam resposta</w:t>
      </w:r>
      <w:r>
        <w:rPr>
          <w:rFonts w:ascii="Aptos" w:hAnsi="Aptos" w:cs="Aptos" w:eastAsia="Aptos"/>
          <w:b w:val="0"/>
          <w:i w:val="0"/>
          <w:color w:val="2B2B2B"/>
          <w:sz w:val="20"/>
        </w:rPr>
        <w:t>, e o capítulo 2 incorpora o que de cada uma resultou. O quadro mantém-se como registo do percurso e para reabertura, caso surja elemento novo.</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680"/>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N.º</w:t>
            </w:r>
          </w:p>
        </w:tc>
        <w:tc>
          <w:tcPr>
            <w:tcW w:type="dxa" w:w="6917"/>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Questão</w:t>
            </w:r>
          </w:p>
        </w:tc>
        <w:tc>
          <w:tcPr>
            <w:tcW w:type="dxa" w:w="1701"/>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Estado</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se articula a licença ou autorização municipal do artigo 2.º da Lei n.º 92/95 com o registo dos alojamentos do Decreto-Lei n.º 276/2001 e com o limite por fogo do artigo 3.º do Decreto-Lei n.º 314/2003?</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13</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remissão da al. p) do n.º 1 do artigo 2.º do Decreto-Lei n.º 276/2001 para o n.º 3 do artigo 3.º do Decreto-Lei n.º 314/2003?</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14</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Como tratar a aplicação que o n.º 4 do artigo 3.º do Decreto-Lei n.º 314/2003 faz aos prédios rústicos e mistos, incluindo a possibilidade de o número ser excedido em função da dimensão do terreno?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15</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4</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 que é um «fogo» para efeitos do n.º 2 do artigo 3.º do Decreto-Lei n.º 314/2003, não o definindo nenhum dos dois diplomas?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5</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5</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No n.º 1 do artigo 3.º do Decreto-Lei n.º 314/2003, «alojamento» designa o facto de alojar ou o estabelecimento, sentido em que a mesma palavra é usada no Decreto-Lei n.º 276/2001?</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6</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Que alcance tem a al. c) do n.º 3 do artigo 14.º do Decreto-Lei n.º 314/2003 ao qualificar o objeto da infração como «habitações e terrenos anexos»?</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7</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excesso de animais num alojamento registado, há concurso de contraordenações entre o artigo 14.º do Decreto-Lei n.º 314/2003 e o regime sancionatório do Decreto-Lei n.º 276/2001, ou consunção?</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8</w:t>
            </w:r>
          </w:p>
        </w:tc>
        <w:tc>
          <w:tcPr>
            <w:tcW w:type="dxa" w:w="6917"/>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Pode a câmara municipal, ao abrigo do n.º 5 do artigo 3.º do Decreto-Lei n.º 314/2003, notificar o titular de um alojamento registado na DGAV para retirar animais para o canil ou gatil municipal?</w:t>
            </w:r>
          </w:p>
        </w:tc>
        <w:tc>
          <w:tcPr>
            <w:tcW w:type="dxa" w:w="1701"/>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r>
        <w:trPr>
          <w:cantSplit/>
        </w:trPr>
        <w:tc>
          <w:tcPr>
            <w:tcW w:type="dxa" w:w="680"/>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9</w:t>
            </w:r>
          </w:p>
        </w:tc>
        <w:tc>
          <w:tcPr>
            <w:tcW w:type="dxa" w:w="6917"/>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Havendo conflito entre os dois diplomas, prevalece a especialidade do Decreto-Lei n.º 276/2001 quanto aos alojamentos ou a posterioridade do Decreto-Lei n.º 314/2003, à luz do n.º 3 do artigo 7.º do Código Civil?</w:t>
            </w:r>
          </w:p>
        </w:tc>
        <w:tc>
          <w:tcPr>
            <w:tcW w:type="dxa" w:w="1701"/>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Respondida — capítulo 9</w:t>
            </w:r>
          </w:p>
        </w:tc>
      </w:tr>
    </w:tbl>
    <w:p>
      <w:pPr>
        <w:spacing w:before="40" w:after="180" w:line="293" w:lineRule="auto"/>
      </w:pPr>
    </w:p>
    <w:p>
      <w:pPr>
        <w:keepNext/>
        <w:spacing w:before="260" w:after="80" w:line="293" w:lineRule="auto"/>
      </w:pPr>
      <w:r>
        <w:rPr>
          <w:rFonts w:ascii="Aptos" w:hAnsi="Aptos" w:cs="Aptos" w:eastAsia="Aptos"/>
          <w:b/>
          <w:i w:val="0"/>
          <w:color w:val="7C8894"/>
          <w:sz w:val="21"/>
        </w:rPr>
        <w:t xml:space="preserve">17.1  </w:t>
      </w:r>
      <w:r>
        <w:rPr>
          <w:rFonts w:ascii="Aptos" w:hAnsi="Aptos" w:cs="Aptos" w:eastAsia="Aptos"/>
          <w:b/>
          <w:i w:val="0"/>
          <w:color w:val="35506B"/>
          <w:sz w:val="21"/>
        </w:rPr>
        <w:t>Limites materiais da análise</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val="0"/>
          <w:i w:val="0"/>
          <w:color w:val="2B2B2B"/>
          <w:sz w:val="20"/>
        </w:rPr>
        <w:t>Não há decisão judicial, parecer publicado nem orientação administrativa que resolva expressamente a questão central. A conclusão é interpretativa.</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val="0"/>
          <w:i w:val="0"/>
          <w:color w:val="2B2B2B"/>
          <w:sz w:val="20"/>
        </w:rPr>
        <w:t xml:space="preserve">O elemento textual mais incómodo é a al. c) do n.º 3 do artigo 14.º — «habitações </w:t>
      </w:r>
      <w:r>
        <w:rPr>
          <w:rFonts w:ascii="Aptos" w:hAnsi="Aptos" w:cs="Aptos" w:eastAsia="Aptos"/>
          <w:b/>
          <w:i w:val="0"/>
          <w:color w:val="2B2B2B"/>
          <w:sz w:val="20"/>
        </w:rPr>
        <w:t>e terrenos anexos</w:t>
      </w:r>
      <w:r>
        <w:rPr>
          <w:rFonts w:ascii="Aptos" w:hAnsi="Aptos" w:cs="Aptos" w:eastAsia="Aptos"/>
          <w:b w:val="0"/>
          <w:i w:val="0"/>
          <w:color w:val="2B2B2B"/>
          <w:sz w:val="20"/>
        </w:rPr>
        <w:t>». A resposta proposta é que essa alínea delimita o âmbito do artigo 3.º no seu conjunto, e que o n.º 1 alcança efetivamente o quintal; o que não faz é converter o «fogo» do n.º 2 em «prédio». É matéria da questão 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val="0"/>
          <w:i w:val="0"/>
          <w:color w:val="2B2B2B"/>
          <w:sz w:val="20"/>
        </w:rPr>
        <w:t xml:space="preserve">As </w:t>
      </w:r>
      <w:r>
        <w:rPr>
          <w:rFonts w:ascii="Aptos" w:hAnsi="Aptos" w:cs="Aptos" w:eastAsia="Aptos"/>
          <w:b/>
          <w:i w:val="0"/>
          <w:color w:val="2B2B2B"/>
          <w:sz w:val="20"/>
        </w:rPr>
        <w:t>tabelas do anexo III</w:t>
      </w:r>
      <w:r>
        <w:rPr>
          <w:rFonts w:ascii="Aptos" w:hAnsi="Aptos" w:cs="Aptos" w:eastAsia="Aptos"/>
          <w:b w:val="0"/>
          <w:i w:val="0"/>
          <w:color w:val="2B2B2B"/>
          <w:sz w:val="20"/>
        </w:rPr>
        <w:t xml:space="preserve"> foram obtidas do Diário da República n.º 241, de 17 de outubro de 2001, que publica os anexos I a VII. Falta incorporá-las e demonstrar numericamente a lotação por superfície.</w:t>
      </w:r>
    </w:p>
    <w:p>
      <w:pPr>
        <w:spacing w:before="0" w:after="100" w:line="293" w:lineRule="auto"/>
        <w:ind w:left="408" w:hanging="408"/>
        <w:jc w:val="both"/>
      </w:pPr>
      <w:r>
        <w:rPr>
          <w:rFonts w:ascii="Aptos" w:hAnsi="Aptos" w:cs="Aptos" w:eastAsia="Aptos"/>
          <w:b/>
          <w:i w:val="0"/>
          <w:color w:val="5C7891"/>
          <w:sz w:val="20"/>
        </w:rPr>
        <w:t>4.</w:t>
        <w:tab/>
      </w:r>
      <w:r>
        <w:rPr>
          <w:rFonts w:ascii="Aptos" w:hAnsi="Aptos" w:cs="Aptos" w:eastAsia="Aptos"/>
          <w:b w:val="0"/>
          <w:i w:val="0"/>
          <w:color w:val="2B2B2B"/>
          <w:sz w:val="20"/>
        </w:rPr>
        <w:t xml:space="preserve">O </w:t>
      </w:r>
      <w:r>
        <w:rPr>
          <w:rFonts w:ascii="Aptos" w:hAnsi="Aptos" w:cs="Aptos" w:eastAsia="Aptos"/>
          <w:b/>
          <w:i w:val="0"/>
          <w:color w:val="2B2B2B"/>
          <w:sz w:val="20"/>
        </w:rPr>
        <w:t>texto original do Diário da República n.º 290, de 17 de dezembro de 2003</w:t>
      </w:r>
      <w:r>
        <w:rPr>
          <w:rFonts w:ascii="Aptos" w:hAnsi="Aptos" w:cs="Aptos" w:eastAsia="Aptos"/>
          <w:b w:val="0"/>
          <w:i w:val="0"/>
          <w:color w:val="2B2B2B"/>
          <w:sz w:val="20"/>
        </w:rPr>
        <w:t>, foi obtido e está usado no capítulo 14. Falta o processo legislativo do Decreto-Lei n.º 315/2003, cujo preâmbulo nada diz sobre a ressalva da al. p).</w:t>
      </w:r>
    </w:p>
    <w:p>
      <w:pPr>
        <w:spacing w:before="0" w:after="100" w:line="293" w:lineRule="auto"/>
        <w:ind w:left="408" w:hanging="408"/>
        <w:jc w:val="both"/>
      </w:pPr>
      <w:r>
        <w:rPr>
          <w:rFonts w:ascii="Aptos" w:hAnsi="Aptos" w:cs="Aptos" w:eastAsia="Aptos"/>
          <w:b/>
          <w:i w:val="0"/>
          <w:color w:val="5C7891"/>
          <w:sz w:val="20"/>
        </w:rPr>
        <w:t>5.</w:t>
        <w:tab/>
      </w:r>
      <w:r>
        <w:rPr>
          <w:rFonts w:ascii="Aptos" w:hAnsi="Aptos" w:cs="Aptos" w:eastAsia="Aptos"/>
          <w:b w:val="0"/>
          <w:i w:val="0"/>
          <w:color w:val="2B2B2B"/>
          <w:sz w:val="20"/>
        </w:rPr>
        <w:t xml:space="preserve">A pesquisa jurisprudencial cobre apenas os tribunais superiores. </w:t>
      </w:r>
      <w:r>
        <w:rPr>
          <w:rFonts w:ascii="Aptos" w:hAnsi="Aptos" w:cs="Aptos" w:eastAsia="Aptos"/>
          <w:b/>
          <w:i w:val="0"/>
          <w:color w:val="2B2B2B"/>
          <w:sz w:val="20"/>
        </w:rPr>
        <w:t>Não cobre a primeira instância</w:t>
      </w:r>
      <w:r>
        <w:rPr>
          <w:rFonts w:ascii="Aptos" w:hAnsi="Aptos" w:cs="Aptos" w:eastAsia="Aptos"/>
          <w:b w:val="0"/>
          <w:i w:val="0"/>
          <w:color w:val="2B2B2B"/>
          <w:sz w:val="20"/>
        </w:rPr>
        <w:t>, onde se decide a maior parte das impugnações de atos municipais, nem os processos de contraordenação decididos administrativamente. Ausência de casuística publicada não equivale a ausência de casos.</w:t>
      </w:r>
    </w:p>
    <w:p>
      <w:pPr>
        <w:spacing w:before="0" w:after="100" w:line="293" w:lineRule="auto"/>
        <w:ind w:left="408" w:hanging="408"/>
        <w:jc w:val="both"/>
      </w:pPr>
      <w:r>
        <w:rPr>
          <w:rFonts w:ascii="Aptos" w:hAnsi="Aptos" w:cs="Aptos" w:eastAsia="Aptos"/>
          <w:b/>
          <w:i w:val="0"/>
          <w:color w:val="5C7891"/>
          <w:sz w:val="20"/>
        </w:rPr>
        <w:t>6.</w:t>
        <w:tab/>
      </w:r>
      <w:r>
        <w:rPr>
          <w:rFonts w:ascii="Aptos" w:hAnsi="Aptos" w:cs="Aptos" w:eastAsia="Aptos"/>
          <w:b w:val="0"/>
          <w:i w:val="0"/>
          <w:color w:val="2B2B2B"/>
          <w:sz w:val="20"/>
        </w:rPr>
        <w:t>Não se obteve o texto do acórdão do Tribunal de Matosinhos de 9 de setembro de 2026, sobre os abrigos de Santo Tirso, usado no ponto 9.5 a partir de notícias. É a diligência pendente mais útil, e condiciona o que sobre ele se pode afirmar.</w:t>
      </w:r>
    </w:p>
    <w:p>
      <w:pPr>
        <w:spacing w:before="0" w:after="100" w:line="293" w:lineRule="auto"/>
        <w:ind w:left="408" w:hanging="408"/>
        <w:jc w:val="both"/>
      </w:pPr>
      <w:r>
        <w:rPr>
          <w:rFonts w:ascii="Aptos" w:hAnsi="Aptos" w:cs="Aptos" w:eastAsia="Aptos"/>
          <w:b/>
          <w:i w:val="0"/>
          <w:color w:val="5C7891"/>
          <w:sz w:val="20"/>
        </w:rPr>
        <w:t>7.</w:t>
        <w:tab/>
      </w:r>
      <w:r>
        <w:rPr>
          <w:rFonts w:ascii="Aptos" w:hAnsi="Aptos" w:cs="Aptos" w:eastAsia="Aptos"/>
          <w:b w:val="0"/>
          <w:i w:val="0"/>
          <w:color w:val="2B2B2B"/>
          <w:sz w:val="20"/>
        </w:rPr>
        <w:t xml:space="preserve">Os textos do n.º 2 do artigo 112.º da Constituição e do artigo 7.º do Código Civil, usados no capítulo 13, foram </w:t>
      </w:r>
      <w:r>
        <w:rPr>
          <w:rFonts w:ascii="Aptos" w:hAnsi="Aptos" w:cs="Aptos" w:eastAsia="Aptos"/>
          <w:b/>
          <w:i w:val="0"/>
          <w:color w:val="2B2B2B"/>
          <w:sz w:val="20"/>
        </w:rPr>
        <w:t>conferidos em fonte oficial</w:t>
      </w:r>
      <w:r>
        <w:rPr>
          <w:rFonts w:ascii="Aptos" w:hAnsi="Aptos" w:cs="Aptos" w:eastAsia="Aptos"/>
          <w:b w:val="0"/>
          <w:i w:val="0"/>
          <w:color w:val="2B2B2B"/>
          <w:sz w:val="20"/>
        </w:rPr>
        <w:t xml:space="preserve"> e coincidem integralmente com os que aqui se citam. O método usado fica descrito no ponto 18.2, por ser útil a quem repita o trabalho.</w:t>
      </w:r>
    </w:p>
    <w:p>
      <w:pPr>
        <w:keepNext/>
        <w:spacing w:before="360" w:after="40" w:line="293" w:lineRule="auto"/>
      </w:pPr>
      <w:r>
        <w:rPr>
          <w:rFonts w:ascii="Aptos" w:hAnsi="Aptos" w:cs="Aptos" w:eastAsia="Aptos"/>
          <w:b/>
          <w:i w:val="0"/>
          <w:color w:val="5C7891"/>
          <w:sz w:val="27"/>
        </w:rPr>
        <w:t xml:space="preserve">18.  </w:t>
      </w:r>
      <w:r>
        <w:rPr>
          <w:rFonts w:ascii="Aptos" w:hAnsi="Aptos" w:cs="Aptos" w:eastAsia="Aptos"/>
          <w:b/>
          <w:i w:val="0"/>
          <w:color w:val="35506B"/>
          <w:sz w:val="27"/>
        </w:rPr>
        <w:t>Nota metodológica</w:t>
      </w:r>
    </w:p>
    <w:p>
      <w:pPr>
        <w:keepNext/>
        <w:pBdr>
          <w:bottom w:val="single" w:sz="4" w:space="1" w:color="D7DEE5"/>
        </w:pBdr>
        <w:spacing w:before="0" w:after="160" w:line="40" w:lineRule="exact"/>
      </w:pPr>
    </w:p>
    <w:p>
      <w:pPr>
        <w:keepNext/>
        <w:spacing w:before="260" w:after="80" w:line="293" w:lineRule="auto"/>
      </w:pPr>
      <w:r>
        <w:rPr>
          <w:rFonts w:ascii="Aptos" w:hAnsi="Aptos" w:cs="Aptos" w:eastAsia="Aptos"/>
          <w:b/>
          <w:i w:val="0"/>
          <w:color w:val="7C8894"/>
          <w:sz w:val="21"/>
        </w:rPr>
        <w:t xml:space="preserve">18.1  </w:t>
      </w:r>
      <w:r>
        <w:rPr>
          <w:rFonts w:ascii="Aptos" w:hAnsi="Aptos" w:cs="Aptos" w:eastAsia="Aptos"/>
          <w:b/>
          <w:i w:val="0"/>
          <w:color w:val="35506B"/>
          <w:sz w:val="21"/>
        </w:rPr>
        <w:t>Fontes e pesquisa de jurisprudência</w:t>
      </w:r>
    </w:p>
    <w:p>
      <w:pPr>
        <w:spacing w:before="0" w:after="140" w:line="293" w:lineRule="auto"/>
        <w:jc w:val="both"/>
      </w:pPr>
      <w:r>
        <w:rPr>
          <w:rFonts w:ascii="Aptos" w:hAnsi="Aptos" w:cs="Aptos" w:eastAsia="Aptos"/>
          <w:b w:val="0"/>
          <w:i w:val="0"/>
          <w:color w:val="2B2B2B"/>
          <w:sz w:val="20"/>
        </w:rPr>
        <w:t>Os textos legais foram obtidos das versões consolidadas e confrontados com as cópias do repositório. A pesquisa de jurisprudência foi feita na base de dados pública dos tribunais superiores, nas bases das Relações de Lisboa, Porto, Guimarães, Évora e Coimbra, do Supremo Tribunal de Justiça, do Supremo Tribunal Administrativo e dos Tribunais Centrais Administrativos Sul e Norte.</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i w:val="0"/>
                <w:color w:val="2B2B2B"/>
                <w:sz w:val="19"/>
              </w:rPr>
              <w:t>Armadilha do motor de pesquisa.</w:t>
            </w:r>
            <w:r>
              <w:rPr>
                <w:rFonts w:ascii="Aptos" w:hAnsi="Aptos" w:cs="Aptos" w:eastAsia="Aptos"/>
                <w:b w:val="0"/>
                <w:i w:val="0"/>
                <w:color w:val="2B2B2B"/>
                <w:sz w:val="19"/>
              </w:rPr>
              <w:t xml:space="preserve"> O motor daquela base devolve </w:t>
            </w:r>
            <w:r>
              <w:rPr>
                <w:rFonts w:ascii="Aptos" w:hAnsi="Aptos" w:cs="Aptos" w:eastAsia="Aptos"/>
                <w:b/>
                <w:i w:val="0"/>
                <w:color w:val="2B2B2B"/>
                <w:sz w:val="19"/>
              </w:rPr>
              <w:t>zero resultados</w:t>
            </w:r>
            <w:r>
              <w:rPr>
                <w:rFonts w:ascii="Aptos" w:hAnsi="Aptos" w:cs="Aptos" w:eastAsia="Aptos"/>
                <w:b w:val="0"/>
                <w:i w:val="0"/>
                <w:color w:val="2B2B2B"/>
                <w:sz w:val="19"/>
              </w:rPr>
              <w:t xml:space="preserve"> quando se combina o operador «AND» com termos que contenham barra ou acentuação, ainda que existam documentos que satisfazem a consulta. Exemplo verificado: a pesquisa de «276/2001» combinada com «licença» devolveu zero, quando «276/2001» isolado devolveu trinta e seis. As pesquisas foram por isso feitas com termos simples e o cruzamento realizado sobre o texto integral das decisões descarregadas. Esta reserva é relevante para quem repita o trabalho.</w:t>
            </w:r>
          </w:p>
        </w:tc>
      </w:tr>
    </w:tbl>
    <w:p>
      <w:pPr>
        <w:spacing w:before="0" w:after="180" w:line="293" w:lineRule="auto"/>
      </w:pPr>
    </w:p>
    <w:p>
      <w:pPr>
        <w:keepNext/>
        <w:spacing w:before="260" w:after="80" w:line="293" w:lineRule="auto"/>
      </w:pPr>
      <w:r>
        <w:rPr>
          <w:rFonts w:ascii="Aptos" w:hAnsi="Aptos" w:cs="Aptos" w:eastAsia="Aptos"/>
          <w:b/>
          <w:i w:val="0"/>
          <w:color w:val="7C8894"/>
          <w:sz w:val="21"/>
        </w:rPr>
        <w:t xml:space="preserve">18.2  </w:t>
      </w:r>
      <w:r>
        <w:rPr>
          <w:rFonts w:ascii="Aptos" w:hAnsi="Aptos" w:cs="Aptos" w:eastAsia="Aptos"/>
          <w:b/>
          <w:i w:val="0"/>
          <w:color w:val="35506B"/>
          <w:sz w:val="21"/>
        </w:rPr>
        <w:t>Como consultar o Diário da República de forma verificável</w:t>
      </w:r>
    </w:p>
    <w:p>
      <w:pPr>
        <w:spacing w:before="0" w:after="140" w:line="293" w:lineRule="auto"/>
        <w:jc w:val="both"/>
      </w:pPr>
      <w:r>
        <w:rPr>
          <w:rFonts w:ascii="Aptos" w:hAnsi="Aptos" w:cs="Aptos" w:eastAsia="Aptos"/>
          <w:b w:val="0"/>
          <w:i w:val="0"/>
          <w:color w:val="2B2B2B"/>
          <w:sz w:val="20"/>
        </w:rPr>
        <w:t>As páginas de legislação consolidada do Diário da República eletrónico são construídas no navegador e não servem o texto a quem as consulte por meios automáticos. Isso não impede a verificação: o jornal oficial está integralmente disponível em PDF, e é essa a fonte a usar. Três regimes, consoante a data.</w:t>
      </w:r>
    </w:p>
    <w:p>
      <w:pPr>
        <w:spacing w:before="0" w:after="100" w:line="293" w:lineRule="auto"/>
        <w:ind w:left="408" w:hanging="408"/>
        <w:jc w:val="both"/>
      </w:pPr>
      <w:r>
        <w:rPr>
          <w:rFonts w:ascii="Aptos" w:hAnsi="Aptos" w:cs="Aptos" w:eastAsia="Aptos"/>
          <w:b/>
          <w:i w:val="0"/>
          <w:color w:val="5C7891"/>
          <w:sz w:val="20"/>
        </w:rPr>
        <w:t>1.</w:t>
        <w:tab/>
      </w:r>
      <w:r>
        <w:rPr>
          <w:rFonts w:ascii="Aptos" w:hAnsi="Aptos" w:cs="Aptos" w:eastAsia="Aptos"/>
          <w:b/>
          <w:i w:val="0"/>
          <w:color w:val="2B2B2B"/>
          <w:sz w:val="20"/>
        </w:rPr>
        <w:t>Atos posteriores a 1976</w:t>
      </w:r>
      <w:r>
        <w:rPr>
          <w:rFonts w:ascii="Aptos" w:hAnsi="Aptos" w:cs="Aptos" w:eastAsia="Aptos"/>
          <w:b w:val="0"/>
          <w:i w:val="0"/>
          <w:color w:val="2B2B2B"/>
          <w:sz w:val="20"/>
        </w:rPr>
        <w:t xml:space="preserve"> — o PDF do Diário da República tem camada de texto e pode ser lido e pesquisado diretamente. Foi assim que se obtiveram, para este estudo, o Diário da República n.º 241, de 17 de outubro de 2001, o n.º 290, de 17 de dezembro de 2003, e o n.º 104, de 29 de maio de 2026.</w:t>
      </w:r>
    </w:p>
    <w:p>
      <w:pPr>
        <w:spacing w:before="0" w:after="100" w:line="293" w:lineRule="auto"/>
        <w:ind w:left="408" w:hanging="408"/>
        <w:jc w:val="both"/>
      </w:pPr>
      <w:r>
        <w:rPr>
          <w:rFonts w:ascii="Aptos" w:hAnsi="Aptos" w:cs="Aptos" w:eastAsia="Aptos"/>
          <w:b/>
          <w:i w:val="0"/>
          <w:color w:val="5C7891"/>
          <w:sz w:val="20"/>
        </w:rPr>
        <w:t>2.</w:t>
        <w:tab/>
      </w:r>
      <w:r>
        <w:rPr>
          <w:rFonts w:ascii="Aptos" w:hAnsi="Aptos" w:cs="Aptos" w:eastAsia="Aptos"/>
          <w:b/>
          <w:i w:val="0"/>
          <w:color w:val="2B2B2B"/>
          <w:sz w:val="20"/>
        </w:rPr>
        <w:t>Atos anteriores a 1976</w:t>
      </w:r>
      <w:r>
        <w:rPr>
          <w:rFonts w:ascii="Aptos" w:hAnsi="Aptos" w:cs="Aptos" w:eastAsia="Aptos"/>
          <w:b w:val="0"/>
          <w:i w:val="0"/>
          <w:color w:val="2B2B2B"/>
          <w:sz w:val="20"/>
        </w:rPr>
        <w:t xml:space="preserve"> — o PDF é uma digitalização sem camada de texto. A pesquisa por palavra falha, mas a página lê-se convertendo-a em imagem. Foi assim que se conferiu o artigo 7.º do Código Civil no Diário do Governo n.º 274, I série, de 25 de novembro de 1966, a páginas 1886.</w:t>
      </w:r>
    </w:p>
    <w:p>
      <w:pPr>
        <w:spacing w:before="0" w:after="100" w:line="293" w:lineRule="auto"/>
        <w:ind w:left="408" w:hanging="408"/>
        <w:jc w:val="both"/>
      </w:pPr>
      <w:r>
        <w:rPr>
          <w:rFonts w:ascii="Aptos" w:hAnsi="Aptos" w:cs="Aptos" w:eastAsia="Aptos"/>
          <w:b/>
          <w:i w:val="0"/>
          <w:color w:val="5C7891"/>
          <w:sz w:val="20"/>
        </w:rPr>
        <w:t>3.</w:t>
        <w:tab/>
      </w:r>
      <w:r>
        <w:rPr>
          <w:rFonts w:ascii="Aptos" w:hAnsi="Aptos" w:cs="Aptos" w:eastAsia="Aptos"/>
          <w:b/>
          <w:i w:val="0"/>
          <w:color w:val="2B2B2B"/>
          <w:sz w:val="20"/>
        </w:rPr>
        <w:t>Textos republicados</w:t>
      </w:r>
      <w:r>
        <w:rPr>
          <w:rFonts w:ascii="Aptos" w:hAnsi="Aptos" w:cs="Aptos" w:eastAsia="Aptos"/>
          <w:b w:val="0"/>
          <w:i w:val="0"/>
          <w:color w:val="2B2B2B"/>
          <w:sz w:val="20"/>
        </w:rPr>
        <w:t xml:space="preserve"> — quando o que se procura é um texto consolidado por republicação, como a Constituição na redação da Lei Constitucional n.º 1/2005, recorre-se à edição institucional em PDF de entidade pública — foi usada a do Tribunal Constitucional e a da Comissão Nacional de Eleições.</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D8C9AE"/>
              <w:bottom w:val="nil"/>
              <w:right w:val="nil"/>
            </w:tcBorders>
            <w:shd w:val="clear" w:color="auto" w:fill="F7F4ED"/>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20"/>
              </w:rPr>
              <w:t xml:space="preserve">A regra prática que daqui resulta: </w:t>
            </w:r>
            <w:r>
              <w:rPr>
                <w:rFonts w:ascii="Aptos" w:hAnsi="Aptos" w:cs="Aptos" w:eastAsia="Aptos"/>
                <w:b/>
                <w:i w:val="0"/>
                <w:color w:val="2B2B2B"/>
                <w:sz w:val="20"/>
              </w:rPr>
              <w:t>um compilador privado serve para localizar a norma, nunca para a citar</w:t>
            </w:r>
            <w:r>
              <w:rPr>
                <w:rFonts w:ascii="Aptos" w:hAnsi="Aptos" w:cs="Aptos" w:eastAsia="Aptos"/>
                <w:b w:val="0"/>
                <w:i w:val="0"/>
                <w:color w:val="2B2B2B"/>
                <w:sz w:val="20"/>
              </w:rPr>
              <w:t>. A citação faz-se sempre contra o PDF do jornal oficial, pelo caminho que a data do ato determinar.</w:t>
            </w:r>
          </w:p>
        </w:tc>
      </w:tr>
    </w:tbl>
    <w:p>
      <w:pPr>
        <w:spacing w:before="0" w:after="180" w:line="293" w:lineRule="auto"/>
      </w:pPr>
    </w:p>
    <w:p>
      <w:pPr>
        <w:spacing w:before="0" w:after="0" w:line="293" w:lineRule="auto"/>
      </w:pPr>
      <w:r>
        <w:br w:type="page"/>
      </w:r>
    </w:p>
    <w:p>
      <w:pPr>
        <w:keepNext/>
        <w:spacing w:before="360" w:after="40" w:line="293" w:lineRule="auto"/>
      </w:pPr>
      <w:r>
        <w:rPr>
          <w:rFonts w:ascii="Aptos" w:hAnsi="Aptos" w:cs="Aptos" w:eastAsia="Aptos"/>
          <w:b/>
          <w:i w:val="0"/>
          <w:color w:val="5C7891"/>
          <w:sz w:val="27"/>
        </w:rPr>
        <w:t xml:space="preserve">Anexo A  </w:t>
      </w:r>
      <w:r>
        <w:rPr>
          <w:rFonts w:ascii="Aptos" w:hAnsi="Aptos" w:cs="Aptos" w:eastAsia="Aptos"/>
          <w:b/>
          <w:i w:val="0"/>
          <w:color w:val="35506B"/>
          <w:sz w:val="27"/>
        </w:rPr>
        <w:t>O artigo 3.º nunca foi alterado — verificação</w:t>
      </w:r>
    </w:p>
    <w:p>
      <w:pPr>
        <w:keepNext/>
        <w:pBdr>
          <w:bottom w:val="single" w:sz="4" w:space="1" w:color="D7DEE5"/>
        </w:pBdr>
        <w:spacing w:before="0" w:after="160" w:line="40" w:lineRule="exact"/>
      </w:pPr>
    </w:p>
    <w:p>
      <w:pPr>
        <w:spacing w:before="0" w:after="140" w:line="293" w:lineRule="auto"/>
        <w:jc w:val="both"/>
      </w:pPr>
      <w:r>
        <w:rPr>
          <w:rFonts w:ascii="Aptos" w:hAnsi="Aptos" w:cs="Aptos" w:eastAsia="Aptos"/>
          <w:b w:val="0"/>
          <w:i w:val="0"/>
          <w:color w:val="2B2B2B"/>
          <w:sz w:val="20"/>
        </w:rPr>
        <w:t>A afirmação é verificável nas três versões oficiais do Decreto-Lei n.º 314/2003. O texto do artigo 3.º é idêntico, palavra por palavra, na redação originária de 17 de dezembro de 2003, na resultante do Decreto-Lei n.º 20/2019, de 30 de janeiro, e na versão em vigor.</w:t>
      </w: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1474"/>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Versão</w:t>
            </w:r>
          </w:p>
        </w:tc>
        <w:tc>
          <w:tcPr>
            <w:tcW w:type="dxa" w:w="36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30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Artigo 3.º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1.ª</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314/2003, de 17 de dezembro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Redação originária</w:t>
            </w:r>
          </w:p>
        </w:tc>
      </w:tr>
      <w:tr>
        <w:trPr>
          <w:cantSplit/>
        </w:trPr>
        <w:tc>
          <w:tcPr>
            <w:tcW w:type="dxa" w:w="1474"/>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2.ª</w:t>
            </w:r>
          </w:p>
        </w:tc>
        <w:tc>
          <w:tcPr>
            <w:tcW w:type="dxa" w:w="36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Decreto-Lei n.º 20/2019, de 30 de janeiro</w:t>
            </w:r>
          </w:p>
        </w:tc>
        <w:tc>
          <w:tcPr>
            <w:tcW w:type="dxa" w:w="430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as alterações incidiram no n.º 2 do artigo 4.º e no artigo 14.º</w:t>
            </w:r>
          </w:p>
        </w:tc>
      </w:tr>
      <w:tr>
        <w:trPr>
          <w:cantSplit/>
        </w:trPr>
        <w:tc>
          <w:tcPr>
            <w:tcW w:type="dxa" w:w="1474"/>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3.ª (em vigor)</w:t>
            </w:r>
          </w:p>
        </w:tc>
        <w:tc>
          <w:tcPr>
            <w:tcW w:type="dxa" w:w="36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da AR n.º 138/2019, de 8 de agosto</w:t>
            </w:r>
          </w:p>
        </w:tc>
        <w:tc>
          <w:tcPr>
            <w:tcW w:type="dxa" w:w="430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i w:val="0"/>
                <w:color w:val="2B2B2B"/>
                <w:sz w:val="17"/>
              </w:rPr>
              <w:t>Idêntico</w:t>
            </w:r>
            <w:r>
              <w:rPr>
                <w:rFonts w:ascii="Aptos" w:hAnsi="Aptos" w:cs="Aptos" w:eastAsia="Aptos"/>
                <w:b w:val="0"/>
                <w:i w:val="0"/>
                <w:color w:val="2B2B2B"/>
                <w:sz w:val="17"/>
              </w:rPr>
              <w:t xml:space="preserve"> — fez cessar a vigência das normas alteradas pelo DL n.º 20/2019, repristinando a redação de 2003</w:t>
            </w:r>
          </w:p>
        </w:tc>
      </w:tr>
    </w:tbl>
    <w:p>
      <w:pPr>
        <w:spacing w:before="40" w:after="180" w:line="293" w:lineRule="auto"/>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9412"/>
      </w:tblGrid>
      <w:tr>
        <w:trPr>
          <w:cantSplit/>
        </w:trPr>
        <w:tc>
          <w:tcPr>
            <w:tcW w:type="dxa" w:w="9411"/>
            <w:tcBorders>
              <w:top w:val="nil"/>
              <w:left w:val="single" w:sz="18" w:space="0" w:color="E0BEBA"/>
              <w:bottom w:val="nil"/>
              <w:right w:val="nil"/>
            </w:tcBorders>
            <w:shd w:val="clear" w:color="auto" w:fill="FAF2F1"/>
            <w:tcMar>
              <w:top w:w="130" w:type="dxa"/>
              <w:bottom w:w="130" w:type="dxa"/>
              <w:left w:w="200" w:type="dxa"/>
              <w:right w:w="180" w:type="dxa"/>
            </w:tcMar>
          </w:tcPr>
          <w:p>
            <w:pPr>
              <w:spacing w:before="0" w:after="0" w:line="293" w:lineRule="auto"/>
              <w:jc w:val="both"/>
            </w:pPr>
            <w:r>
              <w:rPr>
                <w:rFonts w:ascii="Aptos" w:hAnsi="Aptos" w:cs="Aptos" w:eastAsia="Aptos"/>
                <w:b w:val="0"/>
                <w:i w:val="0"/>
                <w:color w:val="2B2B2B"/>
                <w:sz w:val="19"/>
              </w:rPr>
              <w:t xml:space="preserve">A verificação foi feita por extração do texto das três versões, isolamento do artigo 3.º e comparação: a assinatura MD5 do artigo é </w:t>
            </w:r>
            <w:r>
              <w:rPr>
                <w:rFonts w:ascii="Aptos" w:hAnsi="Aptos" w:cs="Aptos" w:eastAsia="Aptos"/>
                <w:b/>
                <w:i w:val="0"/>
                <w:color w:val="2B2B2B"/>
                <w:sz w:val="19"/>
              </w:rPr>
              <w:t>idêntica nas três</w:t>
            </w:r>
            <w:r>
              <w:rPr>
                <w:rFonts w:ascii="Aptos" w:hAnsi="Aptos" w:cs="Aptos" w:eastAsia="Aptos"/>
                <w:b w:val="0"/>
                <w:i w:val="0"/>
                <w:color w:val="2B2B2B"/>
                <w:sz w:val="19"/>
              </w:rPr>
              <w:t xml:space="preserve"> — `745db9eaca77368cb870a4e84ae56b6c`. O artigo 3.º não figura em nenhum dos blocos de alteração do diploma.</w:t>
            </w:r>
          </w:p>
        </w:tc>
      </w:tr>
    </w:tbl>
    <w:p>
      <w:pPr>
        <w:spacing w:before="0" w:after="180" w:line="293" w:lineRule="auto"/>
      </w:pPr>
    </w:p>
    <w:p>
      <w:pPr>
        <w:spacing w:before="0" w:after="140" w:line="293" w:lineRule="auto"/>
        <w:jc w:val="both"/>
      </w:pPr>
      <w:r>
        <w:rPr>
          <w:rFonts w:ascii="Aptos" w:hAnsi="Aptos" w:cs="Aptos" w:eastAsia="Aptos"/>
          <w:b w:val="0"/>
          <w:i w:val="0"/>
          <w:color w:val="2B2B2B"/>
          <w:sz w:val="20"/>
        </w:rPr>
        <w:t xml:space="preserve">Em consequência, o n.º 3 para que remete a al. p) do n.º 1 do artigo 2.º do Decreto-Lei n.º 276/2001 é hoje o mesmo que era em 2003 — a regra do regulamento do condomínio. </w:t>
      </w:r>
      <w:r>
        <w:rPr>
          <w:rFonts w:ascii="Aptos" w:hAnsi="Aptos" w:cs="Aptos" w:eastAsia="Aptos"/>
          <w:b/>
          <w:i w:val="0"/>
          <w:color w:val="2B2B2B"/>
          <w:sz w:val="20"/>
        </w:rPr>
        <w:t>A remissão não está desatualizada por efeito de renumeração</w:t>
      </w:r>
      <w:r>
        <w:rPr>
          <w:rFonts w:ascii="Aptos" w:hAnsi="Aptos" w:cs="Aptos" w:eastAsia="Aptos"/>
          <w:b w:val="0"/>
          <w:i w:val="0"/>
          <w:color w:val="2B2B2B"/>
          <w:sz w:val="20"/>
        </w:rPr>
        <w:t>; está mal calibrada quanto ao seu alcance, pelas razões expostas no ponto 6.5.</w:t>
      </w:r>
    </w:p>
    <w:p>
      <w:pPr>
        <w:keepNext/>
        <w:spacing w:before="360" w:after="40" w:line="293" w:lineRule="auto"/>
      </w:pPr>
      <w:r>
        <w:rPr>
          <w:rFonts w:ascii="Aptos" w:hAnsi="Aptos" w:cs="Aptos" w:eastAsia="Aptos"/>
          <w:b/>
          <w:i w:val="0"/>
          <w:color w:val="5C7891"/>
          <w:sz w:val="27"/>
        </w:rPr>
        <w:t xml:space="preserve">Anexo B  </w:t>
      </w:r>
      <w:r>
        <w:rPr>
          <w:rFonts w:ascii="Aptos" w:hAnsi="Aptos" w:cs="Aptos" w:eastAsia="Aptos"/>
          <w:b/>
          <w:i w:val="0"/>
          <w:color w:val="35506B"/>
          <w:sz w:val="27"/>
        </w:rPr>
        <w:t>Quadro das normas citadas</w:t>
      </w:r>
    </w:p>
    <w:p>
      <w:pPr>
        <w:keepNext/>
        <w:pBdr>
          <w:bottom w:val="single" w:sz="4" w:space="1" w:color="D7DEE5"/>
        </w:pBdr>
        <w:spacing w:before="0" w:after="160" w:line="40" w:lineRule="exact"/>
      </w:pPr>
    </w:p>
    <w:tbl>
      <w:tblPr>
        <w:tblW w:type="auto" w:w="0"/>
        <w:jc w:val="center"/>
        <w:tblBorders>
          <w:top w:val="nil"/>
          <w:left w:val="nil"/>
          <w:bottom w:val="nil"/>
          <w:right w:val="nil"/>
          <w:insideH w:val="nil"/>
          <w:insideV w:val="nil"/>
        </w:tblBorders>
        <w:tblLayout w:type="fixed"/>
        <w:tblLook w:firstColumn="1" w:firstRow="1" w:lastColumn="0" w:lastRow="0" w:noHBand="0" w:noVBand="1" w:val="04A0"/>
      </w:tblPr>
      <w:tblGrid>
        <w:gridCol w:w="3137"/>
        <w:gridCol w:w="3137"/>
        <w:gridCol w:w="3137"/>
      </w:tblGrid>
      <w:tr>
        <w:trPr>
          <w:cantSplit/>
          <w:tblHeader/>
        </w:trPr>
        <w:tc>
          <w:tcPr>
            <w:tcW w:type="dxa" w:w="260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Norma</w:t>
            </w:r>
          </w:p>
        </w:tc>
        <w:tc>
          <w:tcPr>
            <w:tcW w:type="dxa" w:w="1928"/>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Diploma</w:t>
            </w:r>
          </w:p>
        </w:tc>
        <w:tc>
          <w:tcPr>
            <w:tcW w:type="dxa" w:w="4649"/>
            <w:tcBorders>
              <w:top w:val="nil"/>
              <w:left w:val="nil"/>
              <w:bottom w:val="single" w:sz="8" w:space="0" w:color="A9C2D8"/>
              <w:right w:val="nil"/>
            </w:tcBorders>
            <w:shd w:val="clear" w:color="auto" w:fill="E9EFF4"/>
            <w:tcMar>
              <w:top w:w="90" w:type="dxa"/>
              <w:bottom w:w="90" w:type="dxa"/>
              <w:left w:w="120" w:type="dxa"/>
              <w:right w:w="120" w:type="dxa"/>
            </w:tcMar>
          </w:tcPr>
          <w:p>
            <w:pPr>
              <w:spacing w:before="0" w:after="0" w:line="293" w:lineRule="auto"/>
            </w:pPr>
            <w:r>
              <w:rPr>
                <w:rFonts w:ascii="Aptos" w:hAnsi="Aptos" w:cs="Aptos" w:eastAsia="Aptos"/>
                <w:b/>
                <w:i w:val="0"/>
                <w:color w:val="35506B"/>
                <w:sz w:val="17"/>
              </w:rPr>
              <w:t>Matéria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1.º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Objeto — PNLVERAZ</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d)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 — inclui reprodução e criação, com ou sem fins comerciais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e)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Animal de companhia — «no seu lar»</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6 do art.º 3.º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Detenção de cães e gatos — limites por fogo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5.º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Comércio — estabelecimentos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c) do n.º 3 do art.º 14.º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«habitações e terrenos anexos»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f) do n.º 3 do art.º 14.º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314/2003</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Contraordenação — estabelecimentos de comércio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1.º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Âmbito — exploração de alojamentos, independentemente do fim</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n)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Alojamento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p)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sem fins lucrativos — ressalva</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q) do n.º 1 do art.º 2.º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Hospedagem com fins lucrativos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v) do n.º 1 do art.º 2.º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Detentor</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Títulos de acesso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als. h) e j) do n.º 1 do art.º 3.º-A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Capacidade máxima declarada; declaração de cumprimento</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24.º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Destinatário do Cap. III; «sem prejuízo das demais disposições aplicáveis»</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n.ºs 1 a 5 do art.º 25.º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Instalações individualizadas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1 do art.º 27.º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Dimensões mínimas — anexo III</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n.º 2 do art.º 67.º-A</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Acesso — «casas de habitação e terrenos privados»</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art.º 70.º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DL n.º 276/2001</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Instrução e decisão dos processos de contraordenação</w:t>
            </w:r>
          </w:p>
        </w:tc>
      </w:tr>
      <w:tr>
        <w:trPr>
          <w:cantSplit/>
        </w:trPr>
        <w:tc>
          <w:tcPr>
            <w:tcW w:type="dxa" w:w="260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arts. 2.º a 6.º</w:t>
            </w:r>
          </w:p>
        </w:tc>
        <w:tc>
          <w:tcPr>
            <w:tcW w:type="dxa" w:w="1928"/>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CIMI</w:t>
            </w:r>
          </w:p>
        </w:tc>
        <w:tc>
          <w:tcPr>
            <w:tcW w:type="dxa" w:w="4649"/>
            <w:tcBorders>
              <w:top w:val="nil"/>
              <w:left w:val="nil"/>
              <w:bottom w:val="single" w:sz="4" w:space="0" w:color="D7DEE5"/>
              <w:right w:val="nil"/>
            </w:tcBorders>
            <w:shd w:val="clear" w:color="auto" w:fill="FFFFFF"/>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Classificação predial — critério fiscal</w:t>
            </w:r>
          </w:p>
        </w:tc>
      </w:tr>
      <w:tr>
        <w:trPr>
          <w:cantSplit/>
        </w:trPr>
        <w:tc>
          <w:tcPr>
            <w:tcW w:type="dxa" w:w="260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al. a) do n.º 2 do art.º 1083.º</w:t>
            </w:r>
          </w:p>
        </w:tc>
        <w:tc>
          <w:tcPr>
            <w:tcW w:type="dxa" w:w="1928"/>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Código Civil</w:t>
            </w:r>
          </w:p>
        </w:tc>
        <w:tc>
          <w:tcPr>
            <w:tcW w:type="dxa" w:w="4649"/>
            <w:tcBorders>
              <w:top w:val="nil"/>
              <w:left w:val="nil"/>
              <w:bottom w:val="single" w:sz="4" w:space="0" w:color="D7DEE5"/>
              <w:right w:val="nil"/>
            </w:tcBorders>
            <w:shd w:val="clear" w:color="auto" w:fill="F8FAFC"/>
            <w:tcMar>
              <w:top w:w="85" w:type="dxa"/>
              <w:bottom w:w="85" w:type="dxa"/>
              <w:left w:w="120" w:type="dxa"/>
              <w:right w:w="120" w:type="dxa"/>
            </w:tcMar>
          </w:tcPr>
          <w:p>
            <w:pPr>
              <w:spacing w:before="0" w:after="0" w:line="274" w:lineRule="auto"/>
            </w:pPr>
            <w:r>
              <w:rPr>
                <w:rFonts w:ascii="Aptos" w:hAnsi="Aptos" w:cs="Aptos" w:eastAsia="Aptos"/>
                <w:b w:val="0"/>
                <w:i w:val="0"/>
                <w:color w:val="2B2B2B"/>
                <w:sz w:val="17"/>
              </w:rPr>
              <w:t>Resolução do arrendamento — higiene e vizinhança</w:t>
            </w:r>
          </w:p>
        </w:tc>
      </w:tr>
    </w:tbl>
    <w:p>
      <w:pPr>
        <w:spacing w:before="40" w:after="180" w:line="293" w:lineRule="auto"/>
      </w:pPr>
    </w:p>
    <w:sectPr w:rsidR="00FC693F" w:rsidRPr="0006063C" w:rsidSect="00034616">
      <w:headerReference w:type="default" r:id="rId9"/>
      <w:footerReference w:type="default" r:id="rId10"/>
      <w:pgSz w:w="11906" w:h="16838"/>
      <w:pgMar w:top="1304" w:right="1247" w:bottom="1191"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93" w:lineRule="auto"/>
      <w:jc w:val="right"/>
    </w:pPr>
    <w:r>
      <w:rPr>
        <w:rFonts w:ascii="Aptos" w:hAnsi="Aptos" w:cs="Aptos" w:eastAsia="Aptos"/>
        <w:b w:val="0"/>
        <w:i w:val="0"/>
        <w:color w:val="7C8894"/>
        <w:sz w:val="16"/>
      </w:rPr>
    </w:r>
    <w:fldSimple w:instr="PAGE">
      <w:r>
        <w:rPr>
          <w:sz w:val="16"/>
          <w:color w:val="7C8894"/>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93" w:lineRule="auto"/>
      <w:jc w:val="right"/>
    </w:pPr>
    <w:r>
      <w:rPr>
        <w:rFonts w:ascii="Aptos" w:hAnsi="Aptos" w:cs="Aptos" w:eastAsia="Aptos"/>
        <w:b w:val="0"/>
        <w:i w:val="0"/>
        <w:color w:val="7C8894"/>
        <w:sz w:val="15"/>
      </w:rPr>
      <w:t>Limites por fogo · lotação dos alojamentos registados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Aptos" w:hAnsi="Aptos" w:cs="Aptos" w:eastAsia="Aptos"/>
      <w:color w:val="2B2B2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