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ANEXO DE JURISPRUDÊNCIA E DOUTRINA</w:t>
      </w:r>
    </w:p>
    <w:p>
      <w:pPr>
        <w:spacing w:before="0" w:after="40" w:line="293" w:lineRule="auto"/>
      </w:pPr>
      <w:r>
        <w:rPr>
          <w:rFonts w:ascii="Aptos" w:hAnsi="Aptos" w:cs="Aptos" w:eastAsia="Aptos"/>
          <w:b/>
          <w:i w:val="0"/>
          <w:color w:val="35506B"/>
          <w:sz w:val="42"/>
        </w:rPr>
        <w:t>Delimitação entre o Decreto-Lei n.º 314/2003 e o Decreto-Lei n.º 276/2001</w:t>
      </w:r>
    </w:p>
    <w:p>
      <w:pPr>
        <w:spacing w:before="0" w:after="200" w:line="293" w:lineRule="auto"/>
      </w:pPr>
      <w:r>
        <w:rPr>
          <w:rFonts w:ascii="Aptos" w:hAnsi="Aptos" w:cs="Aptos" w:eastAsia="Aptos"/>
          <w:b w:val="0"/>
          <w:i w:val="0"/>
          <w:color w:val="5C7891"/>
          <w:sz w:val="22"/>
        </w:rPr>
        <w:t>Elementos jurisprudenciais, doutrinais e de prática administrativa recolhidos em apoio da interpretação exposta no anexo de delimitação</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8"/>
              </w:rPr>
              <w:t>Este anexo reúne os elementos externos que sustentam a conclusão do anexo de delimitação: os limites de alojamento por prédio do artigo 3.º do Decreto-Lei n.º 314/2003 não constituem limiar de capacidade dos estabelecimentos de criação. A pesquisa cobriu a base de dados do Instituto de Gestão Financeira e Equipamentos da Justiça (dgsi.pt) em todas as bases disponíveis, a jurisprudência do Tribunal Constitucional, doutrina publicada e prática administrativa. Os limites da pesquisa constam do ponto 11.</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Genealogia da norma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artigo 3.º do Decreto-Lei n.º 314/2003 não é norma inovadora. Descende do artigo 10.º do Decreto-Lei n.º 317/85, de 2 de agosto, inserido no capítulo respeitante aos cães, secção do alojamento, do então Programa Nacional de Luta e Vigilância Epidemiológica da Raiva Animal. A epígrafe do preceito era, e é elucidativa: «Remoção dos animais por decisão camarária; processo aplicável».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A permanência de cães em habitações situadas em zonas urbanas fica condicionada à existência de boas condições de alojamento dos mesmos, ausência de riscos sob o aspecto sanitário e inexistência nestes animais de doenças transmissíveis ao homem.</w:t>
            </w:r>
          </w:p>
          <w:p>
            <w:pPr>
              <w:spacing w:before="0" w:after="80" w:line="293" w:lineRule="auto"/>
              <w:jc w:val="both"/>
            </w:pPr>
            <w:r>
              <w:rPr>
                <w:rFonts w:ascii="Aptos" w:hAnsi="Aptos" w:cs="Aptos" w:eastAsia="Aptos"/>
                <w:b w:val="0"/>
                <w:i/>
                <w:color w:val="2B2B2B"/>
                <w:sz w:val="19"/>
              </w:rPr>
              <w:t>2 — As câmaras municipais, sempre que razões de salubridade ou tranquilidade da vizinhança o imponham, poderão determinar a remoção de quaisquer cães ou outros animais de companhia.</w:t>
            </w:r>
          </w:p>
          <w:p>
            <w:pPr>
              <w:spacing w:before="0" w:after="0" w:line="293" w:lineRule="auto"/>
              <w:jc w:val="both"/>
            </w:pPr>
            <w:r>
              <w:rPr>
                <w:rFonts w:ascii="Aptos" w:hAnsi="Aptos" w:cs="Aptos" w:eastAsia="Aptos"/>
                <w:b w:val="0"/>
                <w:i/>
                <w:color w:val="2B2B2B"/>
                <w:sz w:val="19"/>
              </w:rPr>
              <w:t>3 — A câmara municipal competente, confirmada a existência de situações referidas no número anterior, notificará o dono ou detentor dos animais para a remoção dos mesmos no prazo de 8 dias.</w:t>
            </w:r>
          </w:p>
          <w:p>
            <w:pPr>
              <w:spacing w:before="120" w:after="0" w:line="293" w:lineRule="auto"/>
            </w:pPr>
            <w:r>
              <w:rPr>
                <w:rFonts w:ascii="Aptos" w:hAnsi="Aptos" w:cs="Aptos" w:eastAsia="Aptos"/>
                <w:b w:val="0"/>
                <w:i w:val="0"/>
                <w:color w:val="7C8894"/>
                <w:sz w:val="15"/>
              </w:rPr>
              <w:t>N.os 1 a 3 do artigo 10.º do Decreto-Lei n.º 317/85, de 2 de agosto, transcritos no Acórdão do Tribunal Constitucional n.º 158/95</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unidade de referência era a </w:t>
      </w:r>
      <w:r>
        <w:rPr>
          <w:rFonts w:ascii="Aptos" w:hAnsi="Aptos" w:cs="Aptos" w:eastAsia="Aptos"/>
          <w:b/>
          <w:i w:val="0"/>
          <w:color w:val="2B2B2B"/>
          <w:sz w:val="20"/>
        </w:rPr>
        <w:t>habitação</w:t>
      </w:r>
      <w:r>
        <w:rPr>
          <w:rFonts w:ascii="Aptos" w:hAnsi="Aptos" w:cs="Aptos" w:eastAsia="Aptos"/>
          <w:b w:val="0"/>
          <w:i w:val="0"/>
          <w:color w:val="2B2B2B"/>
          <w:sz w:val="20"/>
        </w:rPr>
        <w:t>. O Decreto-Lei n.º 314/2003 substituiu-a por «prédios urbanos, rústicos ou mistos» e acrescentou os limites numéricos, sem alterar a natureza da norma nem a sua inserção sistemática. O Tribunal Constitucional situou o preceito no diploma que visou «englobar num único diploma as normas a que deve submeter-se a profilaxia médica da raiva e as medidas de polícia sanitária».</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Tribunal Constitucional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qualificação da decisão camarária de remoção está fixada há quarenta anos, e uma das decisões tem força obrigatória geral.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249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Acórdão</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Objeto e sentido</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158/95</w:t>
            </w:r>
          </w:p>
          <w:p>
            <w:pPr>
              <w:spacing w:before="0" w:after="40" w:line="274" w:lineRule="auto"/>
            </w:pPr>
            <w:r>
              <w:rPr>
                <w:rFonts w:ascii="Aptos" w:hAnsi="Aptos" w:cs="Aptos" w:eastAsia="Aptos"/>
                <w:b w:val="0"/>
                <w:i w:val="0"/>
                <w:color w:val="2B2B2B"/>
                <w:sz w:val="17"/>
              </w:rPr>
              <w:t>2.ª Secção</w:t>
            </w:r>
          </w:p>
          <w:p>
            <w:pPr>
              <w:spacing w:before="0" w:after="40" w:line="274" w:lineRule="auto"/>
            </w:pPr>
            <w:r>
              <w:rPr>
                <w:rFonts w:ascii="Aptos" w:hAnsi="Aptos" w:cs="Aptos" w:eastAsia="Aptos"/>
                <w:b w:val="0"/>
                <w:i w:val="0"/>
                <w:color w:val="2B2B2B"/>
                <w:sz w:val="17"/>
              </w:rPr>
              <w:t>Rel. Guilherme da Fonseca</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Inconstitucionalidade orgânica do n.º 4 do artigo 10.º do Decreto-Lei n.º 317/85, na parte em que atribuía ao tribunal judicial a competência para conhecer do recurso. Qualifica a decisão camarária como ato administrativo.</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190/95 e 193/95</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Remetem integralmente para o Acórdão n.º 158/95.</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579/95</w:t>
            </w:r>
          </w:p>
          <w:p>
            <w:pPr>
              <w:spacing w:before="0" w:after="40" w:line="274" w:lineRule="auto"/>
            </w:pPr>
            <w:r>
              <w:rPr>
                <w:rFonts w:ascii="Aptos" w:hAnsi="Aptos" w:cs="Aptos" w:eastAsia="Aptos"/>
                <w:b w:val="0"/>
                <w:i w:val="0"/>
                <w:color w:val="2B2B2B"/>
                <w:sz w:val="17"/>
              </w:rPr>
              <w:t>Plenário</w:t>
            </w:r>
          </w:p>
          <w:p>
            <w:pPr>
              <w:spacing w:before="0" w:after="40" w:line="274" w:lineRule="auto"/>
            </w:pPr>
            <w:r>
              <w:rPr>
                <w:rFonts w:ascii="Aptos" w:hAnsi="Aptos" w:cs="Aptos" w:eastAsia="Aptos"/>
                <w:b w:val="0"/>
                <w:i w:val="0"/>
                <w:color w:val="2B2B2B"/>
                <w:sz w:val="17"/>
              </w:rPr>
              <w:t>Rel. Maria Fernanda Palma</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Declaração de inconstitucionalidade com força obrigatória geral</w:t>
            </w:r>
            <w:r>
              <w:rPr>
                <w:rFonts w:ascii="Aptos" w:hAnsi="Aptos" w:cs="Aptos" w:eastAsia="Aptos"/>
                <w:b w:val="0"/>
                <w:i w:val="0"/>
                <w:color w:val="2B2B2B"/>
                <w:sz w:val="17"/>
              </w:rPr>
              <w:t xml:space="preserve"> da mesma norma.</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229/2007</w:t>
            </w:r>
          </w:p>
          <w:p>
            <w:pPr>
              <w:spacing w:before="0" w:after="40" w:line="274" w:lineRule="auto"/>
            </w:pPr>
            <w:r>
              <w:rPr>
                <w:rFonts w:ascii="Aptos" w:hAnsi="Aptos" w:cs="Aptos" w:eastAsia="Aptos"/>
                <w:b w:val="0"/>
                <w:i w:val="0"/>
                <w:color w:val="2B2B2B"/>
                <w:sz w:val="17"/>
              </w:rPr>
              <w:t>2.ª Secção</w:t>
            </w:r>
          </w:p>
          <w:p>
            <w:pPr>
              <w:spacing w:before="0" w:after="40" w:line="274" w:lineRule="auto"/>
            </w:pPr>
            <w:r>
              <w:rPr>
                <w:rFonts w:ascii="Aptos" w:hAnsi="Aptos" w:cs="Aptos" w:eastAsia="Aptos"/>
                <w:b w:val="0"/>
                <w:i w:val="0"/>
                <w:color w:val="2B2B2B"/>
                <w:sz w:val="17"/>
              </w:rPr>
              <w:t>Rel. Maria Fernanda Palma</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Mesma solução quanto ao n.º 6 do artigo 3.º do Decreto-Lei n.º 314/2003.</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fundamento é constante e respeita ao bem jurídico protegido.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 decisão camarária é caracterizável como acto administrativo na medida em que há aí um comando de um órgão autárquico, prosseguindo e realizando interesses públicos relativamente à remoção de um animal de raça canina, com efeitos jurídicos sobre uma situação individual e num caso concreto.</w:t>
            </w:r>
          </w:p>
          <w:p>
            <w:pPr>
              <w:spacing w:before="120" w:after="0" w:line="293" w:lineRule="auto"/>
            </w:pPr>
            <w:r>
              <w:rPr>
                <w:rFonts w:ascii="Aptos" w:hAnsi="Aptos" w:cs="Aptos" w:eastAsia="Aptos"/>
                <w:b w:val="0"/>
                <w:i w:val="0"/>
                <w:color w:val="7C8894"/>
                <w:sz w:val="15"/>
              </w:rPr>
              <w:t>Acórdão do Tribunal Constitucional n.º 158/95, transcrito no Acórdão n.º 229/2007</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 norma] ao prever que «as razões de salubridade ou tranquilidade da vizinhança» (…) são fundamento da decisão camarária de remoção dos animais em causa, integra uma tal decisão no âmbito (…) das atribuições cometidas às câmaras (…). A tranquilidade da vizinhança ou a qualidade de vida em que pode interferir a instalação de animais em habitações sem as devidas condições (…)</w:t>
            </w:r>
          </w:p>
          <w:p>
            <w:pPr>
              <w:spacing w:before="120" w:after="0" w:line="293" w:lineRule="auto"/>
            </w:pPr>
            <w:r>
              <w:rPr>
                <w:rFonts w:ascii="Aptos" w:hAnsi="Aptos" w:cs="Aptos" w:eastAsia="Aptos"/>
                <w:b w:val="0"/>
                <w:i w:val="0"/>
                <w:color w:val="7C8894"/>
                <w:sz w:val="15"/>
              </w:rPr>
              <w:t>Acórdão do Tribunal Constitucional n.º 579/95, transcrito no Acórdão n.º 229/2007</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que está em causa é polícia sanitária municipal sobre a detenção doméstica. Em nenhuma das decisões o preceito é associado ao acesso a uma atividade económica, ao licenciamento de estabelecimentos ou à competência da autoridade veterinária nacional.</w:t>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Jurisprudência administrativa</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3.1  </w:t>
      </w:r>
      <w:r>
        <w:rPr>
          <w:rFonts w:ascii="Aptos" w:hAnsi="Aptos" w:cs="Aptos" w:eastAsia="Aptos"/>
          <w:b/>
          <w:i w:val="0"/>
          <w:color w:val="35506B"/>
          <w:sz w:val="21"/>
        </w:rPr>
        <w:t>O caso dos quarenta e cinco cães</w:t>
      </w:r>
    </w:p>
    <w:p>
      <w:pPr>
        <w:spacing w:before="0" w:after="140" w:line="293" w:lineRule="auto"/>
        <w:jc w:val="both"/>
      </w:pPr>
      <w:r>
        <w:rPr>
          <w:rFonts w:ascii="Aptos" w:hAnsi="Aptos" w:cs="Aptos" w:eastAsia="Aptos"/>
          <w:b w:val="0"/>
          <w:i w:val="0"/>
          <w:color w:val="2B2B2B"/>
          <w:sz w:val="20"/>
        </w:rPr>
        <w:t>O acórdão do Tribunal Central Administrativo Sul de 4 de fevereiro de 2010, processo n.º 04784/09, relatado por Rui Pereira, é o mais próximo da questão. Fixa a natureza da norma.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120" w:after="0" w:line="293" w:lineRule="auto"/>
            </w:pPr>
            <w:r>
              <w:rPr>
                <w:rFonts w:ascii="Aptos" w:hAnsi="Aptos" w:cs="Aptos" w:eastAsia="Aptos"/>
                <w:b w:val="0"/>
                <w:i w:val="0"/>
                <w:color w:val="7C8894"/>
                <w:sz w:val="15"/>
              </w:rPr>
              <w:t>Sumário do Acórdão do TCA Sul de 4 de fevereiro de 2010, processo n.º 04784/09</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tem valor demonstrativo próprio. Estava em causa uma detentora que mantinha cerca de quarenta e cinco cães no quintal da sua residência. A Administração atuou exclusivamente ao abrigo do artigo 3.º do diploma da raiva.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Considerando: — Que M…, residente no lote …, possui ilegalmente no quintal da sua residência aproximadamente 45 cães; — Que foram realizadas vistorias pelo Delegado de Saúde e pelo Médico Veterinário Municipal; — Que, no dia 16 de Setembro de 2005, se realizou uma vistoria conjunta (…) que concluíram existir uma situação de insalubridade ambiental, causadora de maus cheiros e proliferação de insectos vectores de doenças, constituindo tal facto um perigo para a saúde pública; (…) Ordeno, nos termos do n.º 5 do artigo 3.º do Decreto-Lei n.º 314/2003, de 17 de Dezembro, (…) que M… proceda à remoção para o canil municipal ou para outro destino que reúna as condições estabelecidas neste diploma legal (…) de todos os cães que se encontrem na sua residência, para além do limite imposto por lei [seis cães].</w:t>
            </w:r>
          </w:p>
          <w:p>
            <w:pPr>
              <w:spacing w:before="120" w:after="0" w:line="293" w:lineRule="auto"/>
            </w:pPr>
            <w:r>
              <w:rPr>
                <w:rFonts w:ascii="Aptos" w:hAnsi="Aptos" w:cs="Aptos" w:eastAsia="Aptos"/>
                <w:b w:val="0"/>
                <w:i w:val="0"/>
                <w:color w:val="7C8894"/>
                <w:sz w:val="15"/>
              </w:rPr>
              <w:t>Despacho do Presidente da Câmara Municipal de 2 de janeiro de 2006, transcrito no Acórdão do TCA Sul, processo n.º 04784/09</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Em todo o processo — despacho municipal, decisão de primeira instância e acórdão — </w:t>
            </w:r>
            <w:r>
              <w:rPr>
                <w:rFonts w:ascii="Aptos" w:hAnsi="Aptos" w:cs="Aptos" w:eastAsia="Aptos"/>
                <w:b/>
                <w:i w:val="0"/>
                <w:color w:val="2B2B2B"/>
                <w:sz w:val="20"/>
              </w:rPr>
              <w:t>o Decreto-Lei n.º 276/2001 não é mencionado uma única vez</w:t>
            </w:r>
            <w:r>
              <w:rPr>
                <w:rFonts w:ascii="Aptos" w:hAnsi="Aptos" w:cs="Aptos" w:eastAsia="Aptos"/>
                <w:b w:val="0"/>
                <w:i w:val="0"/>
                <w:color w:val="2B2B2B"/>
                <w:sz w:val="20"/>
              </w:rPr>
              <w:t>. Perante quarenta e cinco cães, nem a Administração nem os tribunais equacionaram a existência de um alojamento sujeito a título de acesso. O caso foi tratado, do princípio ao fim, como detenção doméstica insalubre.</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3.2  </w:t>
      </w:r>
      <w:r>
        <w:rPr>
          <w:rFonts w:ascii="Aptos" w:hAnsi="Aptos" w:cs="Aptos" w:eastAsia="Aptos"/>
          <w:b/>
          <w:i w:val="0"/>
          <w:color w:val="35506B"/>
          <w:sz w:val="21"/>
        </w:rPr>
        <w:t>A unicidade do meio de reação</w:t>
      </w:r>
    </w:p>
    <w:p>
      <w:pPr>
        <w:spacing w:before="0" w:after="140" w:line="293" w:lineRule="auto"/>
        <w:jc w:val="both"/>
      </w:pPr>
      <w:r>
        <w:rPr>
          <w:rFonts w:ascii="Aptos" w:hAnsi="Aptos" w:cs="Aptos" w:eastAsia="Aptos"/>
          <w:b w:val="0"/>
          <w:i w:val="0"/>
          <w:color w:val="2B2B2B"/>
          <w:sz w:val="20"/>
        </w:rPr>
        <w:t>O acórdão do Tribunal da Relação de Évora de 18 de abril de 2013, processo n.º 78/12, relatado por Elisabete Valente, respeitava a uma detentora com dez cães na habitação e quintal anexo. O Ministério Público intentara ação cível pedindo que se abstivesse de deter mais de três.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 Deve recorrer-se aos mecanismos previstos no Decreto-Lei n.º 314/2003, de 17 de Dezembro, para pôr fim à situação em que um particular detenha na sua habitação e quintal anexo mais do que 3 canídeos, sem as condições de mínimas de higiene e salubridade para tal.</w:t>
            </w:r>
          </w:p>
          <w:p>
            <w:pPr>
              <w:spacing w:before="0" w:after="0" w:line="293" w:lineRule="auto"/>
              <w:jc w:val="both"/>
            </w:pPr>
            <w:r>
              <w:rPr>
                <w:rFonts w:ascii="Aptos" w:hAnsi="Aptos" w:cs="Aptos" w:eastAsia="Aptos"/>
                <w:b w:val="0"/>
                <w:i/>
                <w:color w:val="2B2B2B"/>
                <w:sz w:val="19"/>
              </w:rPr>
              <w:t>– É competente o Tribunal Administrativo para conhecer de recurso no âmbito desse DL, pois a decisão para a remoção de animais, tendo em conta a saúde pública, é um acto administrativo.</w:t>
            </w:r>
          </w:p>
          <w:p>
            <w:pPr>
              <w:spacing w:before="120" w:after="0" w:line="293" w:lineRule="auto"/>
            </w:pPr>
            <w:r>
              <w:rPr>
                <w:rFonts w:ascii="Aptos" w:hAnsi="Aptos" w:cs="Aptos" w:eastAsia="Aptos"/>
                <w:b w:val="0"/>
                <w:i w:val="0"/>
                <w:color w:val="7C8894"/>
                <w:sz w:val="15"/>
              </w:rPr>
              <w:t>Sumário do Acórdão do TRE de 18 de abril de 2013, processo n.º 78/12</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No corpo da decisão o tribunal é ainda mais assertivo quanto ao caráter fechado do mecanismo: «A situação está legalmente prevista no DL e o meio de reacção é só um, aquele que a lei prevê e que supra descrevemos.» O regime do artigo 3.º tem via própria, exclusiva e administrativa: vistoria conjunta do delegado de saúde e do médico veterinário municipal, notificação do detentor, remoção para o canil municipal, sindicância nos tribunais administrativos.</w:t>
      </w:r>
    </w:p>
    <w:p>
      <w:pPr>
        <w:keepNext/>
        <w:spacing w:before="260" w:after="80" w:line="293" w:lineRule="auto"/>
      </w:pPr>
      <w:r>
        <w:rPr>
          <w:rFonts w:ascii="Aptos" w:hAnsi="Aptos" w:cs="Aptos" w:eastAsia="Aptos"/>
          <w:b/>
          <w:i w:val="0"/>
          <w:color w:val="7C8894"/>
          <w:sz w:val="21"/>
        </w:rPr>
        <w:t xml:space="preserve">3.3  </w:t>
      </w:r>
      <w:r>
        <w:rPr>
          <w:rFonts w:ascii="Aptos" w:hAnsi="Aptos" w:cs="Aptos" w:eastAsia="Aptos"/>
          <w:b/>
          <w:i w:val="0"/>
          <w:color w:val="35506B"/>
          <w:sz w:val="21"/>
        </w:rPr>
        <w:t>Taxonomia judicial dos diplomas</w:t>
      </w:r>
    </w:p>
    <w:p>
      <w:pPr>
        <w:spacing w:before="0" w:after="140" w:line="293" w:lineRule="auto"/>
        <w:jc w:val="both"/>
      </w:pPr>
      <w:r>
        <w:rPr>
          <w:rFonts w:ascii="Aptos" w:hAnsi="Aptos" w:cs="Aptos" w:eastAsia="Aptos"/>
          <w:b w:val="0"/>
          <w:i w:val="0"/>
          <w:color w:val="2B2B2B"/>
          <w:sz w:val="20"/>
        </w:rPr>
        <w:t>O acórdão do Tribunal da Relação de Guimarães de 1 de fevereiro de 2022, processo n.º 4718/18.3T8GMR.G1, relatado por José Amaral, arruma expressamente os diplomas por matéria.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não é regulada pelo Código da Estrada nem pelos diplomas legais (Decretos-Lei n.º 314/2003, de 17 de Dezembro, n.º 82/2019, de 27 de Junho, e n.º 315/2009, de 29 de Outubro) que tratam das suas condições sanitárias (combate à raiva), do seu rastreio, registo e licenciamento (animais de companhia) ou da criação, reprodução e detenção (animais perigosos).</w:t>
            </w:r>
          </w:p>
          <w:p>
            <w:pPr>
              <w:spacing w:before="120" w:after="0" w:line="293" w:lineRule="auto"/>
            </w:pPr>
            <w:r>
              <w:rPr>
                <w:rFonts w:ascii="Aptos" w:hAnsi="Aptos" w:cs="Aptos" w:eastAsia="Aptos"/>
                <w:b w:val="0"/>
                <w:i w:val="0"/>
                <w:color w:val="7C8894"/>
                <w:sz w:val="15"/>
              </w:rPr>
              <w:t>Acórdão do TRG de 1 de fevereiro de 2022, processo n.º 4718/18.3T8GMR.G1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Decreto-Lei n.º 314/2003 é aí identificado, sem hesitação, como o diploma das condições sanitárias de combate à raiva.</w:t>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Contextos de aplicação do artigo 3.º na jurisprudência comum</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Recolheram-se trinta e três acórdãos das Relações que citam o Decreto-Lei n.º 314/2003. Quando o artigo 3.º é convocado, é sempre em contexto de detenção doméstica, vizinhança ou salubridade. Nenhum o aplica como limiar de capacidade de estabelecimento autorizado.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0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Decisão</w:t>
            </w:r>
          </w:p>
        </w:tc>
        <w:tc>
          <w:tcPr>
            <w:tcW w:type="dxa" w:w="635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Contexto de aplicação</w:t>
            </w:r>
          </w:p>
        </w:tc>
      </w:tr>
      <w:tr>
        <w:trPr>
          <w:cantSplit/>
        </w:trPr>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TRL, 18.12.2025, proc. 31180/22.3T8LSB.L1-6</w:t>
            </w:r>
          </w:p>
        </w:tc>
        <w:tc>
          <w:tcPr>
            <w:tcW w:type="dxa" w:w="635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de contrato de arrendamento por violação de regras de higiene e de boa vizinhança. Arrendatária com três cães e um gato no locado.</w:t>
            </w:r>
          </w:p>
        </w:tc>
      </w:tr>
      <w:tr>
        <w:trPr>
          <w:cantSplit/>
        </w:trPr>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TRC, 13.12.2022, proc. 856/22.6T8GRD.C1</w:t>
            </w:r>
          </w:p>
        </w:tc>
        <w:tc>
          <w:tcPr>
            <w:tcW w:type="dxa" w:w="635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Tutela da personalidade. Direito ao sossego, à tranquilidade, à saúde e ao sono do vizinho. Ordenada a retirada dos animais.</w:t>
            </w:r>
          </w:p>
        </w:tc>
      </w:tr>
      <w:tr>
        <w:trPr>
          <w:cantSplit/>
        </w:trPr>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TRP, 30.4.2026, proc. 6599/24.9T8MAI.P1</w:t>
            </w:r>
          </w:p>
        </w:tc>
        <w:tc>
          <w:tcPr>
            <w:tcW w:type="dxa" w:w="635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Direitos de personalidade. Ruído provocado por animal doméstico.</w:t>
            </w:r>
          </w:p>
        </w:tc>
      </w:tr>
      <w:tr>
        <w:trPr>
          <w:cantSplit/>
        </w:trPr>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TRP, 21.11.2016, proc. 3091/15.6T8GDM.P1</w:t>
            </w:r>
          </w:p>
        </w:tc>
        <w:tc>
          <w:tcPr>
            <w:tcW w:type="dxa" w:w="635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Arrendamento para habitação. Proibição de cães no locado.</w:t>
            </w:r>
          </w:p>
        </w:tc>
      </w:tr>
      <w:tr>
        <w:trPr>
          <w:cantSplit/>
        </w:trPr>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TRG, 19.2.2026, proc. 585/08.3TBPVL.G1</w:t>
            </w:r>
          </w:p>
        </w:tc>
        <w:tc>
          <w:tcPr>
            <w:tcW w:type="dxa" w:w="635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Ação executiva para prestação de facto. Remoção de canídeos de imóvel adjudicado.</w:t>
            </w:r>
          </w:p>
        </w:tc>
      </w:tr>
      <w:tr>
        <w:trPr>
          <w:cantSplit/>
        </w:trPr>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TRE, 18.4.2013, proc. 78/12</w:t>
            </w:r>
          </w:p>
        </w:tc>
        <w:tc>
          <w:tcPr>
            <w:tcW w:type="dxa" w:w="635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Competência em razão da matéria. Remoção de animais.</w:t>
            </w:r>
          </w:p>
        </w:tc>
      </w:tr>
      <w:tr>
        <w:trPr>
          <w:cantSplit/>
        </w:trPr>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TCA Sul, 10.10.2013, proc. 10348/13</w:t>
            </w:r>
          </w:p>
        </w:tc>
        <w:tc>
          <w:tcPr>
            <w:tcW w:type="dxa" w:w="635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Forma processual do mandado judicial para remoção de animais.</w:t>
            </w:r>
          </w:p>
        </w:tc>
      </w:tr>
    </w:tbl>
    <w:p>
      <w:pPr>
        <w:spacing w:before="40" w:after="180" w:line="293" w:lineRule="auto"/>
      </w:pP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plano do estabelecimento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Quando o litígio respeita a um estabelecimento, os tribunais convocam outro conjunto de normas. O artigo 3.º do diploma da raiva não aparece.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17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Decisão</w:t>
            </w:r>
          </w:p>
        </w:tc>
        <w:tc>
          <w:tcPr>
            <w:tcW w:type="dxa" w:w="623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 convocado</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STA, 7.3.2006, proc. 0794/05</w:t>
            </w:r>
          </w:p>
          <w:p>
            <w:pPr>
              <w:spacing w:before="0" w:after="40" w:line="274" w:lineRule="auto"/>
            </w:pPr>
            <w:r>
              <w:rPr>
                <w:rFonts w:ascii="Aptos" w:hAnsi="Aptos" w:cs="Aptos" w:eastAsia="Aptos"/>
                <w:b w:val="0"/>
                <w:i w:val="0"/>
                <w:color w:val="2B2B2B"/>
                <w:sz w:val="17"/>
              </w:rPr>
              <w:t>Canil com capacidade para cem cães</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Plano Director Municipal, licenciamento de construção, artigo 103.º do Decreto-Lei n.º 380/99. A capacidade do canil é aferida em sede urbanística; os limites do artigo 3.º não são convocados nem discutidos.</w:t>
            </w:r>
          </w:p>
        </w:tc>
      </w:tr>
      <w:tr>
        <w:trPr>
          <w:cantSplit/>
        </w:trPr>
        <w:tc>
          <w:tcPr>
            <w:tcW w:type="dxa" w:w="317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TCA Norte, 21.4.2023, proc. 01571/22.6BEPRT</w:t>
            </w:r>
          </w:p>
          <w:p>
            <w:pPr>
              <w:spacing w:before="0" w:after="40" w:line="274" w:lineRule="auto"/>
            </w:pPr>
            <w:r>
              <w:rPr>
                <w:rFonts w:ascii="Aptos" w:hAnsi="Aptos" w:cs="Aptos" w:eastAsia="Aptos"/>
                <w:b w:val="0"/>
                <w:i w:val="0"/>
                <w:color w:val="2B2B2B"/>
                <w:sz w:val="17"/>
              </w:rPr>
              <w:t>Encerramento de alojamento de associação sem fins lucrativos</w:t>
            </w:r>
          </w:p>
        </w:tc>
        <w:tc>
          <w:tcPr>
            <w:tcW w:type="dxa" w:w="623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do Decreto-Lei n.º 276/2001. Providência cautelar contra ato de encerramento do alojamento.</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contraste é eloquente. Um canil para cem cães discute-se em sede de instrumento de gestão territorial e de licenciamento; quarenta e cinco cães no quintal de uma residência discutem-se em sede de salubridade e remoção camarária. São dois circuitos jurídicos que não se cruzam.</w:t>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O intervalo de 2001 a 2003</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Este é o elemento de maior peso, e resulta apenas da sequência dos diplomas.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Decreto-Lei n.º 317/85 fixava, no artigo 10.º, a regra da permanência de cães em habitações e o poder camarário de remoção.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w:t>
      </w:r>
      <w:r>
        <w:rPr>
          <w:rFonts w:ascii="Aptos" w:hAnsi="Aptos" w:cs="Aptos" w:eastAsia="Aptos"/>
          <w:b/>
          <w:i w:val="0"/>
          <w:color w:val="2B2B2B"/>
          <w:sz w:val="20"/>
        </w:rPr>
        <w:t>Decreto-Lei n.º 91/2001, de 23 de março</w:t>
      </w:r>
      <w:r>
        <w:rPr>
          <w:rFonts w:ascii="Aptos" w:hAnsi="Aptos" w:cs="Aptos" w:eastAsia="Aptos"/>
          <w:b w:val="0"/>
          <w:i w:val="0"/>
          <w:color w:val="2B2B2B"/>
          <w:sz w:val="20"/>
        </w:rPr>
        <w:t xml:space="preserve">, revogou-o expressamente e </w:t>
      </w:r>
      <w:r>
        <w:rPr>
          <w:rFonts w:ascii="Aptos" w:hAnsi="Aptos" w:cs="Aptos" w:eastAsia="Aptos"/>
          <w:b/>
          <w:i w:val="0"/>
          <w:color w:val="2B2B2B"/>
          <w:sz w:val="20"/>
        </w:rPr>
        <w:t>não reproduziu qualquer limite de animais por fogo nem qualquer poder camarário de remoção</w:t>
      </w:r>
      <w:r>
        <w:rPr>
          <w:rFonts w:ascii="Aptos" w:hAnsi="Aptos" w:cs="Aptos" w:eastAsia="Aptos"/>
          <w:b w:val="0"/>
          <w:i w:val="0"/>
          <w:color w:val="2B2B2B"/>
          <w:sz w:val="20"/>
        </w:rPr>
        <w:t>. A palavra «alojamento» não ocorre uma única vez no seu articulado.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O </w:t>
      </w:r>
      <w:r>
        <w:rPr>
          <w:rFonts w:ascii="Aptos" w:hAnsi="Aptos" w:cs="Aptos" w:eastAsia="Aptos"/>
          <w:b/>
          <w:i w:val="0"/>
          <w:color w:val="2B2B2B"/>
          <w:sz w:val="20"/>
        </w:rPr>
        <w:t>Decreto-Lei n.º 276/2001, de 17 de outubro</w:t>
      </w:r>
      <w:r>
        <w:rPr>
          <w:rFonts w:ascii="Aptos" w:hAnsi="Aptos" w:cs="Aptos" w:eastAsia="Aptos"/>
          <w:b w:val="0"/>
          <w:i w:val="0"/>
          <w:color w:val="2B2B2B"/>
          <w:sz w:val="20"/>
        </w:rPr>
        <w:t xml:space="preserve"> — todo o regime dos alojamentos de reprodução, criação, manutenção e venda, o procedimento de acesso, a figura da criação comercial e o anexo I — foi aprovado </w:t>
      </w:r>
      <w:r>
        <w:rPr>
          <w:rFonts w:ascii="Aptos" w:hAnsi="Aptos" w:cs="Aptos" w:eastAsia="Aptos"/>
          <w:b/>
          <w:i w:val="0"/>
          <w:color w:val="2B2B2B"/>
          <w:sz w:val="20"/>
        </w:rPr>
        <w:t>dentro desse intervalo</w:t>
      </w:r>
      <w:r>
        <w:rPr>
          <w:rFonts w:ascii="Aptos" w:hAnsi="Aptos" w:cs="Aptos" w:eastAsia="Aptos"/>
          <w:b w:val="0"/>
          <w:i w:val="0"/>
          <w:color w:val="2B2B2B"/>
          <w:sz w:val="20"/>
        </w:rPr>
        <w:t>.</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Decreto-Lei n.º 314/2003, de 17 de dezembro</w:t>
      </w:r>
      <w:r>
        <w:rPr>
          <w:rFonts w:ascii="Aptos" w:hAnsi="Aptos" w:cs="Aptos" w:eastAsia="Aptos"/>
          <w:b w:val="0"/>
          <w:i w:val="0"/>
          <w:color w:val="2B2B2B"/>
          <w:sz w:val="20"/>
        </w:rPr>
        <w:t>, revogou o Decreto-Lei n.º 91/2001 e reintroduziu os limites, agora por referência a prédios urbanos, rústicos ou mistos.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É revogado o Decreto-Lei n.º 317/85, de 2 de Agosto.</w:t>
            </w:r>
          </w:p>
          <w:p>
            <w:pPr>
              <w:spacing w:before="120" w:after="0" w:line="293" w:lineRule="auto"/>
            </w:pPr>
            <w:r>
              <w:rPr>
                <w:rFonts w:ascii="Aptos" w:hAnsi="Aptos" w:cs="Aptos" w:eastAsia="Aptos"/>
                <w:b w:val="0"/>
                <w:i w:val="0"/>
                <w:color w:val="7C8894"/>
                <w:sz w:val="15"/>
              </w:rPr>
              <w:t>N.º 1 do artigo 9.º do Decreto-Lei n.º 91/2001, de 23 de março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É revogado o Decreto-Lei n.º 91/2001, de 23 de Março (…)</w:t>
            </w:r>
          </w:p>
          <w:p>
            <w:pPr>
              <w:spacing w:before="120" w:after="0" w:line="293" w:lineRule="auto"/>
            </w:pPr>
            <w:r>
              <w:rPr>
                <w:rFonts w:ascii="Aptos" w:hAnsi="Aptos" w:cs="Aptos" w:eastAsia="Aptos"/>
                <w:b w:val="0"/>
                <w:i w:val="0"/>
                <w:color w:val="7C8894"/>
                <w:sz w:val="15"/>
              </w:rPr>
              <w:t>Artigo 19.º do Decreto-Lei n.º 314/2003, de 17 de dezembro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Durante </w:t>
            </w:r>
            <w:r>
              <w:rPr>
                <w:rFonts w:ascii="Aptos" w:hAnsi="Aptos" w:cs="Aptos" w:eastAsia="Aptos"/>
                <w:b/>
                <w:i w:val="0"/>
                <w:color w:val="2B2B2B"/>
                <w:sz w:val="20"/>
              </w:rPr>
              <w:t>dois anos e nove meses</w:t>
            </w:r>
            <w:r>
              <w:rPr>
                <w:rFonts w:ascii="Aptos" w:hAnsi="Aptos" w:cs="Aptos" w:eastAsia="Aptos"/>
                <w:b w:val="0"/>
                <w:i w:val="0"/>
                <w:color w:val="2B2B2B"/>
                <w:sz w:val="20"/>
              </w:rPr>
              <w:t xml:space="preserve">, entre 23 de março de 2001 e 17 de dezembro de 2003, o ordenamento português não conheceu qualquer limite de animais por fogo. Foi exatamente nesse período que se aprovou e entrou em vigor o regime dos alojamentos do Decreto-Lei n.º 276/2001. Um regime construído na ausência de qualquer limite de detenção </w:t>
            </w:r>
            <w:r>
              <w:rPr>
                <w:rFonts w:ascii="Aptos" w:hAnsi="Aptos" w:cs="Aptos" w:eastAsia="Aptos"/>
                <w:b/>
                <w:i w:val="0"/>
                <w:color w:val="2B2B2B"/>
                <w:sz w:val="20"/>
              </w:rPr>
              <w:t>não pode tê-lo pressuposto</w:t>
            </w:r>
            <w:r>
              <w:rPr>
                <w:rFonts w:ascii="Aptos" w:hAnsi="Aptos" w:cs="Aptos" w:eastAsia="Aptos"/>
                <w:b w:val="0"/>
                <w:i w:val="0"/>
                <w:color w:val="2B2B2B"/>
                <w:sz w:val="20"/>
              </w:rPr>
              <w:t>, e a sua reposição posterior, em diploma de polícia sanitária, não o converte retroativamente em teto de lotação dos estabelecimentos.</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O anexo I do Decreto-Lei n.º 276/2001</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argumento anterior confirma-se pelo modo como o próprio diploma dos alojamentos dimensiona a capacidade: por superfície disponível por animal, e não por contagem de cabeças.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Num canil, cada animal deverá dispor de uma superfície de base de, pelo menos, 1,22 m × 1,22 m;</w:t>
            </w:r>
          </w:p>
          <w:p>
            <w:pPr>
              <w:spacing w:before="0" w:after="80" w:line="293" w:lineRule="auto"/>
              <w:jc w:val="both"/>
            </w:pPr>
            <w:r>
              <w:rPr>
                <w:rFonts w:ascii="Aptos" w:hAnsi="Aptos" w:cs="Aptos" w:eastAsia="Aptos"/>
                <w:b w:val="0"/>
                <w:i/>
                <w:color w:val="2B2B2B"/>
                <w:sz w:val="19"/>
              </w:rPr>
              <w:t>Um recinto com as dimensões 1,50 m × 3 m não poderá alojar mais de dois cães de raça média ou grande, ou três cães de raça pequena.</w:t>
            </w:r>
          </w:p>
          <w:p>
            <w:pPr>
              <w:spacing w:before="0" w:after="0" w:line="293" w:lineRule="auto"/>
              <w:jc w:val="both"/>
            </w:pPr>
            <w:r>
              <w:rPr>
                <w:rFonts w:ascii="Aptos" w:hAnsi="Aptos" w:cs="Aptos" w:eastAsia="Aptos"/>
                <w:b w:val="0"/>
                <w:i/>
                <w:color w:val="2B2B2B"/>
                <w:sz w:val="19"/>
              </w:rPr>
              <w:t>A superfície mínima do chão do recinto para uma cadela e respectiva ninhada deve estar compreendida entre 4 m² e 6 m².</w:t>
            </w:r>
          </w:p>
          <w:p>
            <w:pPr>
              <w:spacing w:before="120" w:after="0" w:line="293" w:lineRule="auto"/>
            </w:pPr>
            <w:r>
              <w:rPr>
                <w:rFonts w:ascii="Aptos" w:hAnsi="Aptos" w:cs="Aptos" w:eastAsia="Aptos"/>
                <w:b w:val="0"/>
                <w:i w:val="0"/>
                <w:color w:val="7C8894"/>
                <w:sz w:val="15"/>
              </w:rPr>
              <w:t>Anexo I do Decreto-Lei n.º 276/2001, para que remete o n.º 6 do artigo 25.º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Se o teto de quatro ou de seis animais valesse para os alojamentos, todo este sistema de dimensionamento seria inútil: nenhum estabelecimento chegaria alguma vez ao ponto em que as medidas do anexo se tornam operativas. A existência do anexo pressupõe, necessariamente, alojamentos com mais animais do que os limites do diploma da raiva admitem por fogo.</w:t>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Doutrina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doutrina que se ocupou do artigo 3.º recusou, pelas mesmas razões, que os seus limites valham fora do domínio sanitário.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Seria no mínimo abusivo pretender retirar daqui uma limitação geral em termos de detenção de animais numa fracção autónoma, numa limitação matreira aos poderes conferidos pelo código civil aos proprietários.</w:t>
            </w:r>
          </w:p>
          <w:p>
            <w:pPr>
              <w:spacing w:before="0" w:after="80" w:line="293" w:lineRule="auto"/>
              <w:jc w:val="both"/>
            </w:pPr>
            <w:r>
              <w:rPr>
                <w:rFonts w:ascii="Aptos" w:hAnsi="Aptos" w:cs="Aptos" w:eastAsia="Aptos"/>
                <w:b w:val="0"/>
                <w:i/>
                <w:color w:val="2B2B2B"/>
                <w:sz w:val="19"/>
              </w:rPr>
              <w:t>A limitação prevista nesta norma vale para efeito de prevenção de zoonoses. Mal se compreenderia, num diploma desta natureza, uma limitação geral, feita em abstracto (sem qualquer atenção, por exemplo, à dimensão da fracção autónoma) aos poderes conferidos ao proprietário pelo Direito Civil.</w:t>
            </w:r>
          </w:p>
          <w:p>
            <w:pPr>
              <w:spacing w:before="0" w:after="0" w:line="293" w:lineRule="auto"/>
              <w:jc w:val="both"/>
            </w:pPr>
            <w:r>
              <w:rPr>
                <w:rFonts w:ascii="Aptos" w:hAnsi="Aptos" w:cs="Aptos" w:eastAsia="Aptos"/>
                <w:b w:val="0"/>
                <w:i/>
                <w:color w:val="2B2B2B"/>
                <w:sz w:val="19"/>
              </w:rPr>
              <w:t>O limite máximo aqui estabelecido releva para efeitos de luta e vigilância epidemiológica, indiciando riscos higío-sanitários, não pretende regular relações de vizinhança, nem tutelar direitos de personalidade dos outros conviventes no prédio.</w:t>
            </w:r>
          </w:p>
          <w:p>
            <w:pPr>
              <w:spacing w:before="120" w:after="0" w:line="293" w:lineRule="auto"/>
            </w:pPr>
            <w:r>
              <w:rPr>
                <w:rFonts w:ascii="Aptos" w:hAnsi="Aptos" w:cs="Aptos" w:eastAsia="Aptos"/>
                <w:b w:val="0"/>
                <w:i w:val="0"/>
                <w:color w:val="7C8894"/>
                <w:sz w:val="15"/>
              </w:rPr>
              <w:t>Sandra Passinhas, «Os animais e o regime português da propriedade horizontal», Revista da Ordem dos Advogados, Ano 66, Vol. II, setembro de 2006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análise do quadro contraordenacional aponta no mesmo sentido, ao autonomizar a infração por excesso de animais </w:t>
      </w:r>
      <w:r>
        <w:rPr>
          <w:rFonts w:ascii="Aptos" w:hAnsi="Aptos" w:cs="Aptos" w:eastAsia="Aptos"/>
          <w:b/>
          <w:i w:val="0"/>
          <w:color w:val="2B2B2B"/>
          <w:sz w:val="20"/>
        </w:rPr>
        <w:t>por fogo urbano</w:t>
      </w:r>
      <w:r>
        <w:rPr>
          <w:rFonts w:ascii="Aptos" w:hAnsi="Aptos" w:cs="Aptos" w:eastAsia="Aptos"/>
          <w:b w:val="0"/>
          <w:i w:val="0"/>
          <w:color w:val="2B2B2B"/>
          <w:sz w:val="20"/>
        </w:rPr>
        <w:t>, sancionada pela al. c) do n.º 3 do artigo 14.º do Decreto-Lei n.º 314/2003, das infrações de atividade do artigo 68.º do Decreto-Lei n.º 276/2001. São tipos distintos, com pressupostos distintos.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Bruno Filipe Salvador da Silva Branco, «A detenção de animais de companhia — uma análise do ponto de vista contraordenacional», Revista Jurídica Lusófona Brasileira, Ano 5 (2019), n.º 2, pp. 229-260.</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Associação Portuguesa de Médicos Veterinários Especialistas em Animais de Companhia, revisão crítica legislativa, que lê o artigo 3.º como fixando o «número de animais de companhia que legalmente é possível </w:t>
      </w:r>
      <w:r>
        <w:rPr>
          <w:rFonts w:ascii="Aptos" w:hAnsi="Aptos" w:cs="Aptos" w:eastAsia="Aptos"/>
          <w:b/>
          <w:i w:val="0"/>
          <w:color w:val="2B2B2B"/>
          <w:sz w:val="20"/>
        </w:rPr>
        <w:t>deter</w:t>
      </w:r>
      <w:r>
        <w:rPr>
          <w:rFonts w:ascii="Aptos" w:hAnsi="Aptos" w:cs="Aptos" w:eastAsia="Aptos"/>
          <w:b w:val="0"/>
          <w:i w:val="0"/>
          <w:color w:val="2B2B2B"/>
          <w:sz w:val="20"/>
        </w:rPr>
        <w:t>».</w:t>
      </w: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 prática das autoridades acompanha a separação. A página institucional da Direção-Geral de Alimentação e Veterinária sobre autorização e requisitos de funcionamento dos alojamentos de animais de companhia invoca o Decreto-Lei n.º 276/2001 e o Decreto-Lei n.º 260/2012, e remete para os anexos por espécie. </w:t>
      </w:r>
      <w:r>
        <w:rPr>
          <w:rFonts w:ascii="Aptos" w:hAnsi="Aptos" w:cs="Aptos" w:eastAsia="Aptos"/>
          <w:b/>
          <w:i w:val="0"/>
          <w:color w:val="2B2B2B"/>
          <w:sz w:val="20"/>
        </w:rPr>
        <w:t>Não menciona o Decreto-Lei n.º 314/2003 nem qualquer limite de animais por fogo.</w:t>
      </w:r>
    </w:p>
    <w:p>
      <w:pPr>
        <w:spacing w:before="0" w:after="140" w:line="293" w:lineRule="auto"/>
        <w:jc w:val="both"/>
      </w:pPr>
      <w:r>
        <w:rPr>
          <w:rFonts w:ascii="Aptos" w:hAnsi="Aptos" w:cs="Aptos" w:eastAsia="Aptos"/>
          <w:b w:val="0"/>
          <w:i w:val="0"/>
          <w:color w:val="2B2B2B"/>
          <w:sz w:val="20"/>
        </w:rPr>
        <w:t>Também a repartição de competências contraordenacionais separa os dois planos: as infrações do artigo 14.º do Decreto-Lei n.º 314/2003 distribuem-se por juntas de freguesia e municípios, ao passo que as infrações do artigo 68.º do Decreto-Lei n.º 276/2001 são instruídas pela autoridade veterinária nacional. Diferentes entidades instrutórias para diferentes domínios materiais.</w:t>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Elemento em sentido aparentemente contrário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Por dever de rigor assinala-se a única decisão recolhida que aplica o artigo 3.º a uma instalação descrita como canil.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 de junho de 2007, processo n.º 1692/2007-8</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decisão não infirma a conclusão deste anexo, por três razões cumulativas.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Aplicou 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que é cláusula geral de salubridade de alcance universal, e não os limites numéricos dos n.os 2 e 4.</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instalação era </w:t>
      </w:r>
      <w:r>
        <w:rPr>
          <w:rFonts w:ascii="Aptos" w:hAnsi="Aptos" w:cs="Aptos" w:eastAsia="Aptos"/>
          <w:b/>
          <w:i w:val="0"/>
          <w:color w:val="2B2B2B"/>
          <w:sz w:val="20"/>
        </w:rPr>
        <w:t>clandestina</w:t>
      </w:r>
      <w:r>
        <w:rPr>
          <w:rFonts w:ascii="Aptos" w:hAnsi="Aptos" w:cs="Aptos" w:eastAsia="Aptos"/>
          <w:b w:val="0"/>
          <w:i w:val="0"/>
          <w:color w:val="2B2B2B"/>
          <w:sz w:val="20"/>
        </w:rPr>
        <w:t>, isto é, não titulada ao abrigo do Decreto-Lei n.º 276/2001. Não estava em causa a capacidade de um alojamento autorizado, mas a existência de uma situação de facto insalubre.</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 causa de pedir era de </w:t>
      </w:r>
      <w:r>
        <w:rPr>
          <w:rFonts w:ascii="Aptos" w:hAnsi="Aptos" w:cs="Aptos" w:eastAsia="Aptos"/>
          <w:b/>
          <w:i w:val="0"/>
          <w:color w:val="2B2B2B"/>
          <w:sz w:val="20"/>
        </w:rPr>
        <w:t>tutela da personalidade</w:t>
      </w:r>
      <w:r>
        <w:rPr>
          <w:rFonts w:ascii="Aptos" w:hAnsi="Aptos" w:cs="Aptos" w:eastAsia="Aptos"/>
          <w:b w:val="0"/>
          <w:i w:val="0"/>
          <w:color w:val="2B2B2B"/>
          <w:sz w:val="20"/>
        </w:rPr>
        <w:t xml:space="preserve"> — direitos à tranquilidade, à qualidade de vida, à habitação e ao ambiente —, e não de acesso a atividade.</w:t>
      </w:r>
    </w:p>
    <w:p>
      <w:pPr>
        <w:spacing w:before="0" w:after="140" w:line="293" w:lineRule="auto"/>
        <w:jc w:val="both"/>
      </w:pPr>
      <w:r>
        <w:rPr>
          <w:rFonts w:ascii="Aptos" w:hAnsi="Aptos" w:cs="Aptos" w:eastAsia="Aptos"/>
          <w:b w:val="0"/>
          <w:i w:val="0"/>
          <w:color w:val="2B2B2B"/>
          <w:sz w:val="20"/>
        </w:rPr>
        <w:t>Retira-se daqui uma precisão útil: o n.º 1 do artigo 3.º pode alcançar qualquer situação de alojamento insalubre, incluindo a de um estabelecimento não titulado. O que não faz, em caso algum, é fixar a lotação de um estabelecimento regularmente autorizado, matéria que o Decreto-Lei n.º 276/2001 regula por declaração na comunicação prévia e pelos parâmetros do seu anexo I.</w:t>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Método e limites da pesquisa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Consultaram-se as bases do Supremo Tribunal de Justiça, das Relações de Lisboa, Porto, Coimbra, Évora e Guimarães, do Supremo Tribunal Administrativo e dos Tribunais Centrais Administrativos Sul e Norte, bem como a jurisprudência do Tribunal Constitucional. Foram descarregados e lidos trinta e três acórdãos que citam 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19"/>
              </w:rPr>
              <w:t>Três reservas devem acompanhar a leitura deste anexo.</w:t>
            </w:r>
          </w:p>
          <w:p>
            <w:pPr>
              <w:spacing w:before="0" w:after="80" w:line="293" w:lineRule="auto"/>
              <w:jc w:val="both"/>
            </w:pPr>
            <w:r>
              <w:rPr>
                <w:rFonts w:ascii="Aptos" w:hAnsi="Aptos" w:cs="Aptos" w:eastAsia="Aptos"/>
                <w:b/>
                <w:i w:val="0"/>
                <w:color w:val="2B2B2B"/>
                <w:sz w:val="19"/>
              </w:rPr>
              <w:t>Primeira.</w:t>
            </w:r>
            <w:r>
              <w:rPr>
                <w:rFonts w:ascii="Aptos" w:hAnsi="Aptos" w:cs="Aptos" w:eastAsia="Aptos"/>
                <w:b w:val="0"/>
                <w:i w:val="0"/>
                <w:color w:val="2B2B2B"/>
                <w:sz w:val="19"/>
              </w:rPr>
              <w:t xml:space="preserve"> O texto do Decreto-Lei n.º 314/2003 tal como publicado no Diário da República de 17 de dezembro de 2003 não foi obtido. A redação originária do artigo 3.º foi confirmada por duas vias indiretas convergentes: a versão consolidada não regista alterações a esse artigo, e a doutrina de 2006 transcreve-o com a numeração atual.</w:t>
            </w:r>
          </w:p>
          <w:p>
            <w:pPr>
              <w:spacing w:before="0" w:after="80" w:line="293" w:lineRule="auto"/>
              <w:jc w:val="both"/>
            </w:pPr>
            <w:r>
              <w:rPr>
                <w:rFonts w:ascii="Aptos" w:hAnsi="Aptos" w:cs="Aptos" w:eastAsia="Aptos"/>
                <w:b/>
                <w:i w:val="0"/>
                <w:color w:val="2B2B2B"/>
                <w:sz w:val="19"/>
              </w:rPr>
              <w:t>Segunda.</w:t>
            </w:r>
            <w:r>
              <w:rPr>
                <w:rFonts w:ascii="Aptos" w:hAnsi="Aptos" w:cs="Aptos" w:eastAsia="Aptos"/>
                <w:b w:val="0"/>
                <w:i w:val="0"/>
                <w:color w:val="2B2B2B"/>
                <w:sz w:val="19"/>
              </w:rPr>
              <w:t xml:space="preserve"> Não se obteve o articulado de regulamentos municipais com cláusula expressa de exclusão dos alojamentos licenciados.</w:t>
            </w:r>
          </w:p>
          <w:p>
            <w:pPr>
              <w:spacing w:before="0" w:after="0" w:line="293" w:lineRule="auto"/>
              <w:jc w:val="both"/>
            </w:pPr>
            <w:r>
              <w:rPr>
                <w:rFonts w:ascii="Aptos" w:hAnsi="Aptos" w:cs="Aptos" w:eastAsia="Aptos"/>
                <w:b/>
                <w:i w:val="0"/>
                <w:color w:val="2B2B2B"/>
                <w:sz w:val="19"/>
              </w:rPr>
              <w:t>Terceira.</w:t>
            </w:r>
            <w:r>
              <w:rPr>
                <w:rFonts w:ascii="Aptos" w:hAnsi="Aptos" w:cs="Aptos" w:eastAsia="Aptos"/>
                <w:b w:val="0"/>
                <w:i w:val="0"/>
                <w:color w:val="2B2B2B"/>
                <w:sz w:val="19"/>
              </w:rPr>
              <w:t xml:space="preserve"> A pesquisa combinada na base do dgsi.pt, associando a referência do diploma a outro termo, produz resultados nulos para combinações que existem no acervo. As conclusões dos pontos 4 e 5 assentam na leitura dos acórdãos efetivamente descarregados, e não em contagens dessa pesquisa combinada.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Síntese</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interpretação segundo a qual os limites do artigo 3.º do Decreto-Lei n.º 314/2003 não fixam a capacidade dos estabelecimentos de criação encontra apoio convergente em quatro planos: na </w:t>
            </w:r>
            <w:r>
              <w:rPr>
                <w:rFonts w:ascii="Aptos" w:hAnsi="Aptos" w:cs="Aptos" w:eastAsia="Aptos"/>
                <w:b/>
                <w:i w:val="0"/>
                <w:color w:val="2B2B2B"/>
                <w:sz w:val="20"/>
              </w:rPr>
              <w:t>genealogia</w:t>
            </w:r>
            <w:r>
              <w:rPr>
                <w:rFonts w:ascii="Aptos" w:hAnsi="Aptos" w:cs="Aptos" w:eastAsia="Aptos"/>
                <w:b w:val="0"/>
                <w:i w:val="0"/>
                <w:color w:val="2B2B2B"/>
                <w:sz w:val="20"/>
              </w:rPr>
              <w:t xml:space="preserve"> da norma, que remonta a 1985 e sempre teve por objeto a permanência de animais em habitações; na </w:t>
            </w:r>
            <w:r>
              <w:rPr>
                <w:rFonts w:ascii="Aptos" w:hAnsi="Aptos" w:cs="Aptos" w:eastAsia="Aptos"/>
                <w:b/>
                <w:i w:val="0"/>
                <w:color w:val="2B2B2B"/>
                <w:sz w:val="20"/>
              </w:rPr>
              <w:t>jurisprudência constitucional</w:t>
            </w:r>
            <w:r>
              <w:rPr>
                <w:rFonts w:ascii="Aptos" w:hAnsi="Aptos" w:cs="Aptos" w:eastAsia="Aptos"/>
                <w:b w:val="0"/>
                <w:i w:val="0"/>
                <w:color w:val="2B2B2B"/>
                <w:sz w:val="20"/>
              </w:rPr>
              <w:t xml:space="preserve">, que há quarenta anos a qualifica como polícia sanitária municipal, com uma declaração de inconstitucionalidade com força obrigatória geral; na </w:t>
            </w:r>
            <w:r>
              <w:rPr>
                <w:rFonts w:ascii="Aptos" w:hAnsi="Aptos" w:cs="Aptos" w:eastAsia="Aptos"/>
                <w:b/>
                <w:i w:val="0"/>
                <w:color w:val="2B2B2B"/>
                <w:sz w:val="20"/>
              </w:rPr>
              <w:t>jurisprudência administrativa e comum</w:t>
            </w:r>
            <w:r>
              <w:rPr>
                <w:rFonts w:ascii="Aptos" w:hAnsi="Aptos" w:cs="Aptos" w:eastAsia="Aptos"/>
                <w:b w:val="0"/>
                <w:i w:val="0"/>
                <w:color w:val="2B2B2B"/>
                <w:sz w:val="20"/>
              </w:rPr>
              <w:t xml:space="preserve">, que a aplica exclusivamente a situações de detenção doméstica, mesmo perante quarenta e cinco cães, e que remete os estabelecimentos para o licenciamento; e na </w:t>
            </w:r>
            <w:r>
              <w:rPr>
                <w:rFonts w:ascii="Aptos" w:hAnsi="Aptos" w:cs="Aptos" w:eastAsia="Aptos"/>
                <w:b/>
                <w:i w:val="0"/>
                <w:color w:val="2B2B2B"/>
                <w:sz w:val="20"/>
              </w:rPr>
              <w:t>doutrina</w:t>
            </w:r>
            <w:r>
              <w:rPr>
                <w:rFonts w:ascii="Aptos" w:hAnsi="Aptos" w:cs="Aptos" w:eastAsia="Aptos"/>
                <w:b w:val="0"/>
                <w:i w:val="0"/>
                <w:color w:val="2B2B2B"/>
                <w:sz w:val="20"/>
              </w:rPr>
              <w:t>, que recusa extrair do preceito qualquer limitação geral. A tudo acresce o dado decisivo de o regime dos alojamentos ter sido aprovado num período em que nenhum limite de detenção vigorava.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Elementos citados</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Acórdãos do Tribunal Constitucional n.os 158/95, 190/95, 193/95, 579/95 (Plenário) e 229/2007.</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Acórdão do STA de 7 de março de 2006, processo n.º 0794/05.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Acórdãos do TCA Sul de 4 de fevereiro de 2010, processo n.º 04784/09, e de 10 de outubro de 2013, processo n.º 10348/13.</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Acórdão do TCA Norte de 21 de abril de 2023, processo n.º 01571/22.6BEPRT.</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Acórdão do TRE de 18 de abril de 2013, processo n.º 78/12.</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Acórdãos do TRL de 28 de junho de 2007, processo n.º 1692/2007-8, e de 18 de dezembro de 2025, processo n.º 31180/22.3T8LSB.L1-6.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Acórdão do TRC de 13 de dezembro de 2022, processo n.º 856/22.6T8GRD.C1.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Acórdãos do TRP de 21 de novembro de 2016, processo n.º 3091/15.6T8GDM.P1, e de 30 de abril de 2026, processo n.º 6599/24.9T8MAI.P1.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Acórdãos do TRG de 1 de fevereiro de 2022, processo n.º 4718/18.3T8GMR.G1, e de 19 de fevereiro de 2026, processo n.º 585/08.3TBPVL.G1.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317/85, de 2 de agosto; Decreto-Lei n.º 91/2001, de 23 de março; Decreto-Lei n.º 276/2001, de 17 de outubro; Decreto-Lei n.º 314/2003, de 17 de dezembro; Decreto-Lei n.º 315/2003, de 17 de dezembro.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Sandra Passinhas, Revista da Ordem dos Advogados, Ano 66, Vol. II, setembro de 2006.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Bruno Branco, Revista Jurídica Lusófona Brasileira, Ano 5 (2019), n.º 2.</w:t>
      </w: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Jurisprudência e doutrina · DL 314/2003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