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1F4E79"/>
          <w:sz w:val="24"/>
        </w:rPr>
        <w:t>Prazos de Implementação — Regulamento 2023/0447 (cães e gatos) — Versão Extensa</w:t>
      </w:r>
    </w:p>
    <w:p>
      <w:pPr>
        <w:spacing w:before="0" w:after="160"/>
      </w:pPr>
      <w:r>
        <w:rPr>
          <w:i/>
          <w:color w:val="606060"/>
          <w:sz w:val="16"/>
        </w:rPr>
        <w:t>Cada linha cita ipsis verbis o texto substantivo do artigo [NORMA] e a cláusula de prazo [PRAZO]. Organização temática. Prazos contados a partir da entrada em vigor (vigésimo dia após publicação no JOUE). Datas de 1 Jul. 2030 e 1 Jul. 2036 são absolutas (Art. 33, ponto iii).</w:t>
      </w:r>
    </w:p>
    <w:tbl>
      <w:tblPr>
        <w:tblLook w:firstColumn="1" w:firstRow="1" w:lastColumn="0" w:lastRow="0" w:noHBand="0" w:noVBand="1" w:val="04A0"/>
        <w:tblLayout w:type="fixed"/>
        <w:tblW w:w="15137"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Grid>
        <w:gridCol w:w="1164"/>
        <w:gridCol w:w="1164"/>
        <w:gridCol w:w="1164"/>
        <w:gridCol w:w="1164"/>
        <w:gridCol w:w="1164"/>
        <w:gridCol w:w="1164"/>
        <w:gridCol w:w="1164"/>
        <w:gridCol w:w="1164"/>
        <w:gridCol w:w="1164"/>
        <w:gridCol w:w="1164"/>
        <w:gridCol w:w="1164"/>
        <w:gridCol w:w="1164"/>
        <w:gridCol w:w="1164"/>
      </w:tblGrid>
      <w:tr>
        <w:tc>
          <w:tcPr>
            <w:shd w:val="clear" w:color="auto" w:fill="1F4E79"/>
            <w:tcW w:w="7937" w:type="dxa"/>
            <w:vAlign w:val="center"/>
            <w:tcMar>
              <w:top w:w="40" w:type="dxa"/>
              <w:bottom w:w="40" w:type="dxa"/>
              <w:left w:w="72" w:type="dxa"/>
              <w:right w:w="72" w:type="dxa"/>
            </w:tcMar>
          </w:tcPr>
          <w:p>
            <w:pPr>
              <w:spacing w:before="0" w:after="0"/>
              <w:jc w:val="center"/>
            </w:pPr>
            <w:r>
              <w:rPr>
                <w:b/>
                <w:color w:val="FFFFFF"/>
                <w:sz w:val="18"/>
              </w:rPr>
              <w:t>Norma / Disposição</w:t>
            </w:r>
          </w:p>
        </w:tc>
        <w:tc>
          <w:tcPr>
            <w:shd w:val="clear" w:color="auto" w:fill="1F4E79"/>
            <w:tcW w:w="600" w:type="dxa"/>
            <w:vAlign w:val="center"/>
            <w:tcMar>
              <w:top w:w="40" w:type="dxa"/>
              <w:bottom w:w="40" w:type="dxa"/>
              <w:left w:w="15" w:type="dxa"/>
              <w:right w:w="15" w:type="dxa"/>
            </w:tcMar>
          </w:tcPr>
          <w:p>
            <w:pPr>
              <w:spacing w:before="0" w:after="0"/>
              <w:jc w:val="center"/>
            </w:pPr>
            <w:r>
              <w:rPr>
                <w:b/>
                <w:color w:val="FFFFFF"/>
                <w:sz w:val="15"/>
              </w:rPr>
              <w:t>2</w:t>
              <w:br/>
            </w:r>
            <w:r>
              <w:rPr>
                <w:b/>
                <w:color w:val="FFFFFF"/>
                <w:sz w:val="15"/>
              </w:rPr>
              <w:t>anos</w:t>
            </w:r>
          </w:p>
        </w:tc>
        <w:tc>
          <w:tcPr>
            <w:shd w:val="clear" w:color="auto" w:fill="1F4E79"/>
            <w:tcW w:w="600" w:type="dxa"/>
            <w:vAlign w:val="center"/>
            <w:tcMar>
              <w:top w:w="40" w:type="dxa"/>
              <w:bottom w:w="40" w:type="dxa"/>
              <w:left w:w="15" w:type="dxa"/>
              <w:right w:w="15" w:type="dxa"/>
            </w:tcMar>
          </w:tcPr>
          <w:p>
            <w:pPr>
              <w:spacing w:before="0" w:after="0"/>
              <w:jc w:val="center"/>
            </w:pPr>
            <w:r>
              <w:rPr>
                <w:b/>
                <w:color w:val="FFFFFF"/>
                <w:sz w:val="15"/>
              </w:rPr>
              <w:t>3</w:t>
              <w:br/>
            </w:r>
            <w:r>
              <w:rPr>
                <w:b/>
                <w:color w:val="FFFFFF"/>
                <w:sz w:val="15"/>
              </w:rPr>
              <w:t>anos</w:t>
            </w:r>
          </w:p>
        </w:tc>
        <w:tc>
          <w:tcPr>
            <w:shd w:val="clear" w:color="auto" w:fill="1F4E79"/>
            <w:tcW w:w="600" w:type="dxa"/>
            <w:vAlign w:val="center"/>
            <w:tcMar>
              <w:top w:w="40" w:type="dxa"/>
              <w:bottom w:w="40" w:type="dxa"/>
              <w:left w:w="15" w:type="dxa"/>
              <w:right w:w="15" w:type="dxa"/>
            </w:tcMar>
          </w:tcPr>
          <w:p>
            <w:pPr>
              <w:spacing w:before="0" w:after="0"/>
              <w:jc w:val="center"/>
            </w:pPr>
            <w:r>
              <w:rPr>
                <w:b/>
                <w:color w:val="FFFFFF"/>
                <w:sz w:val="15"/>
              </w:rPr>
              <w:t>4</w:t>
              <w:br/>
            </w:r>
            <w:r>
              <w:rPr>
                <w:b/>
                <w:color w:val="FFFFFF"/>
                <w:sz w:val="15"/>
              </w:rPr>
              <w:t>anos</w:t>
            </w:r>
          </w:p>
        </w:tc>
        <w:tc>
          <w:tcPr>
            <w:shd w:val="clear" w:color="auto" w:fill="1F4E79"/>
            <w:tcW w:w="600" w:type="dxa"/>
            <w:vAlign w:val="center"/>
            <w:tcMar>
              <w:top w:w="40" w:type="dxa"/>
              <w:bottom w:w="40" w:type="dxa"/>
              <w:left w:w="15" w:type="dxa"/>
              <w:right w:w="15" w:type="dxa"/>
            </w:tcMar>
          </w:tcPr>
          <w:p>
            <w:pPr>
              <w:spacing w:before="0" w:after="0"/>
              <w:jc w:val="center"/>
            </w:pPr>
            <w:r>
              <w:rPr>
                <w:b/>
                <w:color w:val="FFFFFF"/>
                <w:sz w:val="15"/>
              </w:rPr>
              <w:t>5</w:t>
              <w:br/>
            </w:r>
            <w:r>
              <w:rPr>
                <w:b/>
                <w:color w:val="FFFFFF"/>
                <w:sz w:val="15"/>
              </w:rPr>
              <w:t>anos</w:t>
            </w:r>
          </w:p>
        </w:tc>
        <w:tc>
          <w:tcPr>
            <w:shd w:val="clear" w:color="auto" w:fill="1F4E79"/>
            <w:tcW w:w="600" w:type="dxa"/>
            <w:vAlign w:val="center"/>
            <w:tcMar>
              <w:top w:w="40" w:type="dxa"/>
              <w:bottom w:w="40" w:type="dxa"/>
              <w:left w:w="15" w:type="dxa"/>
              <w:right w:w="15" w:type="dxa"/>
            </w:tcMar>
          </w:tcPr>
          <w:p>
            <w:pPr>
              <w:spacing w:before="0" w:after="0"/>
              <w:jc w:val="center"/>
            </w:pPr>
            <w:r>
              <w:rPr>
                <w:b/>
                <w:color w:val="FFFFFF"/>
                <w:sz w:val="15"/>
              </w:rPr>
              <w:t>6</w:t>
              <w:br/>
            </w:r>
            <w:r>
              <w:rPr>
                <w:b/>
                <w:color w:val="FFFFFF"/>
                <w:sz w:val="15"/>
              </w:rPr>
              <w:t>anos</w:t>
            </w:r>
          </w:p>
        </w:tc>
        <w:tc>
          <w:tcPr>
            <w:shd w:val="clear" w:color="auto" w:fill="1F4E79"/>
            <w:tcW w:w="600" w:type="dxa"/>
            <w:vAlign w:val="center"/>
            <w:tcMar>
              <w:top w:w="40" w:type="dxa"/>
              <w:bottom w:w="40" w:type="dxa"/>
              <w:left w:w="15" w:type="dxa"/>
              <w:right w:w="15" w:type="dxa"/>
            </w:tcMar>
          </w:tcPr>
          <w:p>
            <w:pPr>
              <w:spacing w:before="0" w:after="0"/>
              <w:jc w:val="center"/>
            </w:pPr>
            <w:r>
              <w:rPr>
                <w:b/>
                <w:color w:val="FFFFFF"/>
                <w:sz w:val="15"/>
              </w:rPr>
              <w:t>7</w:t>
              <w:br/>
            </w:r>
            <w:r>
              <w:rPr>
                <w:b/>
                <w:color w:val="FFFFFF"/>
                <w:sz w:val="15"/>
              </w:rPr>
              <w:t>anos</w:t>
            </w:r>
          </w:p>
        </w:tc>
        <w:tc>
          <w:tcPr>
            <w:shd w:val="clear" w:color="auto" w:fill="1F4E79"/>
            <w:tcW w:w="600" w:type="dxa"/>
            <w:vAlign w:val="center"/>
            <w:tcMar>
              <w:top w:w="40" w:type="dxa"/>
              <w:bottom w:w="40" w:type="dxa"/>
              <w:left w:w="15" w:type="dxa"/>
              <w:right w:w="15" w:type="dxa"/>
            </w:tcMar>
          </w:tcPr>
          <w:p>
            <w:pPr>
              <w:spacing w:before="0" w:after="0"/>
              <w:jc w:val="center"/>
            </w:pPr>
            <w:r>
              <w:rPr>
                <w:b/>
                <w:color w:val="FFFFFF"/>
                <w:sz w:val="15"/>
              </w:rPr>
              <w:t>8</w:t>
              <w:br/>
            </w:r>
            <w:r>
              <w:rPr>
                <w:b/>
                <w:color w:val="FFFFFF"/>
                <w:sz w:val="15"/>
              </w:rPr>
              <w:t>anos</w:t>
            </w:r>
          </w:p>
        </w:tc>
        <w:tc>
          <w:tcPr>
            <w:shd w:val="clear" w:color="auto" w:fill="1F4E79"/>
            <w:tcW w:w="600" w:type="dxa"/>
            <w:vAlign w:val="center"/>
            <w:tcMar>
              <w:top w:w="40" w:type="dxa"/>
              <w:bottom w:w="40" w:type="dxa"/>
              <w:left w:w="15" w:type="dxa"/>
              <w:right w:w="15" w:type="dxa"/>
            </w:tcMar>
          </w:tcPr>
          <w:p>
            <w:pPr>
              <w:spacing w:before="0" w:after="0"/>
              <w:jc w:val="center"/>
            </w:pPr>
            <w:r>
              <w:rPr>
                <w:b/>
                <w:color w:val="FFFFFF"/>
                <w:sz w:val="15"/>
              </w:rPr>
              <w:t>10</w:t>
              <w:br/>
            </w:r>
            <w:r>
              <w:rPr>
                <w:b/>
                <w:color w:val="FFFFFF"/>
                <w:sz w:val="15"/>
              </w:rPr>
              <w:t>anos</w:t>
            </w:r>
          </w:p>
        </w:tc>
        <w:tc>
          <w:tcPr>
            <w:shd w:val="clear" w:color="auto" w:fill="1F4E79"/>
            <w:tcW w:w="600" w:type="dxa"/>
            <w:vAlign w:val="center"/>
            <w:tcMar>
              <w:top w:w="40" w:type="dxa"/>
              <w:bottom w:w="40" w:type="dxa"/>
              <w:left w:w="15" w:type="dxa"/>
              <w:right w:w="15" w:type="dxa"/>
            </w:tcMar>
          </w:tcPr>
          <w:p>
            <w:pPr>
              <w:spacing w:before="0" w:after="0"/>
              <w:jc w:val="center"/>
            </w:pPr>
            <w:r>
              <w:rPr>
                <w:b/>
                <w:color w:val="FFFFFF"/>
                <w:sz w:val="15"/>
              </w:rPr>
              <w:t>14</w:t>
              <w:br/>
            </w:r>
            <w:r>
              <w:rPr>
                <w:b/>
                <w:color w:val="FFFFFF"/>
                <w:sz w:val="15"/>
              </w:rPr>
              <w:t>anos</w:t>
            </w:r>
          </w:p>
        </w:tc>
        <w:tc>
          <w:tcPr>
            <w:shd w:val="clear" w:color="auto" w:fill="1F4E79"/>
            <w:tcW w:w="600" w:type="dxa"/>
            <w:vAlign w:val="center"/>
            <w:tcMar>
              <w:top w:w="40" w:type="dxa"/>
              <w:bottom w:w="40" w:type="dxa"/>
              <w:left w:w="15" w:type="dxa"/>
              <w:right w:w="15" w:type="dxa"/>
            </w:tcMar>
          </w:tcPr>
          <w:p>
            <w:pPr>
              <w:spacing w:before="0" w:after="0"/>
              <w:jc w:val="center"/>
            </w:pPr>
            <w:r>
              <w:rPr>
                <w:b/>
                <w:color w:val="FFFFFF"/>
                <w:sz w:val="15"/>
              </w:rPr>
              <w:t>15</w:t>
              <w:br/>
            </w:r>
            <w:r>
              <w:rPr>
                <w:b/>
                <w:color w:val="FFFFFF"/>
                <w:sz w:val="15"/>
              </w:rPr>
              <w:t>anos</w:t>
            </w:r>
          </w:p>
        </w:tc>
        <w:tc>
          <w:tcPr>
            <w:shd w:val="clear" w:color="auto" w:fill="1F4E79"/>
            <w:tcW w:w="600" w:type="dxa"/>
            <w:vAlign w:val="center"/>
            <w:tcMar>
              <w:top w:w="40" w:type="dxa"/>
              <w:bottom w:w="40" w:type="dxa"/>
              <w:left w:w="15" w:type="dxa"/>
              <w:right w:w="15" w:type="dxa"/>
            </w:tcMar>
          </w:tcPr>
          <w:p>
            <w:pPr>
              <w:spacing w:before="0" w:after="0"/>
              <w:jc w:val="center"/>
            </w:pPr>
            <w:r>
              <w:rPr>
                <w:b/>
                <w:color w:val="FFFFFF"/>
                <w:sz w:val="15"/>
              </w:rPr>
              <w:t>1 Jul.</w:t>
              <w:br/>
            </w:r>
            <w:r>
              <w:rPr>
                <w:b/>
                <w:color w:val="FFFFFF"/>
                <w:sz w:val="15"/>
              </w:rPr>
              <w:t>2030</w:t>
            </w:r>
          </w:p>
        </w:tc>
        <w:tc>
          <w:tcPr>
            <w:shd w:val="clear" w:color="auto" w:fill="1F4E79"/>
            <w:tcW w:w="600" w:type="dxa"/>
            <w:vAlign w:val="center"/>
            <w:tcMar>
              <w:top w:w="40" w:type="dxa"/>
              <w:bottom w:w="40" w:type="dxa"/>
              <w:left w:w="15" w:type="dxa"/>
              <w:right w:w="15" w:type="dxa"/>
            </w:tcMar>
          </w:tcPr>
          <w:p>
            <w:pPr>
              <w:spacing w:before="0" w:after="0"/>
              <w:jc w:val="center"/>
            </w:pPr>
            <w:r>
              <w:rPr>
                <w:b/>
                <w:color w:val="FFFFFF"/>
                <w:sz w:val="15"/>
              </w:rPr>
              <w:t>1 Jul.</w:t>
              <w:br/>
            </w:r>
            <w:r>
              <w:rPr>
                <w:b/>
                <w:color w:val="FFFFFF"/>
                <w:sz w:val="15"/>
              </w:rPr>
              <w:t>2036</w:t>
            </w:r>
          </w:p>
        </w:tc>
      </w:tr>
      <w:tr>
        <w:tc>
          <w:tcPr>
            <w:tcW w:type="dxa" w:w="15132"/>
            <w:gridSpan w:val="13"/>
            <w:shd w:val="clear" w:color="auto" w:fill="D9E8F5"/>
            <w:vAlign w:val="center"/>
            <w:tcMar>
              <w:top w:w="50" w:type="dxa"/>
              <w:bottom w:w="50" w:type="dxa"/>
              <w:left w:w="100" w:type="dxa"/>
              <w:right w:w="80" w:type="dxa"/>
            </w:tcMar>
          </w:tcPr>
          <w:p>
            <w:pPr>
              <w:spacing w:before="0" w:after="0"/>
            </w:pPr>
            <w:r>
              <w:rPr>
                <w:b/>
                <w:i/>
                <w:color w:val="1F4E79"/>
                <w:sz w:val="17"/>
              </w:rPr>
              <w:t>Grupo 1 — Bem-estar e Reprodução</w:t>
            </w:r>
          </w:p>
        </w:tc>
      </w:tr>
      <w:tr>
        <w:tc>
          <w:tcPr>
            <w:shd w:val="clear" w:color="auto" w:fill="EBF3FB"/>
            <w:tcW w:w="7937" w:type="dxa"/>
            <w:vAlign w:val="top"/>
            <w:tcMar>
              <w:top w:w="50" w:type="dxa"/>
              <w:bottom w:w="50" w:type="dxa"/>
              <w:left w:w="80" w:type="dxa"/>
              <w:right w:w="60" w:type="dxa"/>
            </w:tcMar>
          </w:tcPr>
          <w:p>
            <w:pPr>
              <w:spacing w:before="0" w:after="40"/>
            </w:pPr>
            <w:r>
              <w:rPr>
                <w:b/>
                <w:color w:val="1F4E79"/>
                <w:sz w:val="16"/>
              </w:rPr>
              <w:t>Art. 8(1)</w:t>
              <w:br/>
            </w:r>
            <w:r>
              <w:rPr>
                <w:i/>
                <w:color w:val="808080"/>
                <w:sz w:val="13"/>
              </w:rPr>
              <w:t>[via Art. 33, ponto (iii)]</w:t>
            </w:r>
          </w:p>
          <w:p>
            <w:pPr>
              <w:spacing w:before="0" w:after="0"/>
            </w:pPr>
            <w:r>
              <w:rPr>
                <w:color w:val="303030"/>
                <w:sz w:val="14"/>
              </w:rPr>
              <w:t>1. Operators of breeding establishments shall ensure that their breeding strategies minimise the risk of producing dogs or cats with genotypes associated with effects detrimental to the health and welfare of those animals.</w:t>
            </w:r>
          </w:p>
          <w:p>
            <w:pPr>
              <w:spacing w:before="50" w:after="20"/>
            </w:pPr>
            <w:r>
              <w:rPr>
                <w:b/>
                <w:color w:val="1F4E79"/>
                <w:sz w:val="13"/>
              </w:rPr>
              <w:t>▸ Prazo [Art. 33, ponto (iii)]:</w:t>
            </w:r>
          </w:p>
          <w:p>
            <w:pPr>
              <w:spacing w:before="0" w:after="0"/>
            </w:pPr>
            <w:r>
              <w:rPr>
                <w:i/>
                <w:color w:val="1F4E79"/>
                <w:sz w:val="14"/>
              </w:rPr>
              <w:t>Article 8(1) shall apply from 1 July 2036.</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r>
              <w:rPr>
                <w:b/>
                <w:color w:val="1F4E79"/>
                <w:sz w:val="20"/>
              </w:rPr>
              <w:t>✓</w:t>
            </w:r>
          </w:p>
        </w:tc>
      </w:tr>
      <w:tr>
        <w:tc>
          <w:tcPr>
            <w:shd w:val="clear" w:color="auto" w:fill="FFFFFF"/>
            <w:tcW w:w="7937" w:type="dxa"/>
            <w:vAlign w:val="top"/>
            <w:tcMar>
              <w:top w:w="50" w:type="dxa"/>
              <w:bottom w:w="50" w:type="dxa"/>
              <w:left w:w="80" w:type="dxa"/>
              <w:right w:w="60" w:type="dxa"/>
            </w:tcMar>
          </w:tcPr>
          <w:p>
            <w:pPr>
              <w:spacing w:before="0" w:after="40"/>
            </w:pPr>
            <w:r>
              <w:rPr>
                <w:b/>
                <w:color w:val="1F4E79"/>
                <w:sz w:val="16"/>
              </w:rPr>
              <w:t>Art. 8(2)</w:t>
              <w:br/>
            </w:r>
            <w:r>
              <w:rPr>
                <w:i/>
                <w:color w:val="808080"/>
                <w:sz w:val="13"/>
              </w:rPr>
              <w:t>[via Art. 33, ponto (iii)]</w:t>
            </w:r>
          </w:p>
          <w:p>
            <w:pPr>
              <w:spacing w:before="0" w:after="0"/>
            </w:pPr>
            <w:r>
              <w:rPr>
                <w:color w:val="303030"/>
                <w:sz w:val="14"/>
              </w:rPr>
              <w:t>2. Operators of breeding establishments shall not use for reproduction dogs or cats that have excessive conformational traits leading to a high risk of detrimental effects on the welfare of such dogs or cats, or of their offspring. Before selecting a dog or cat that might have an excessive conformational trait for breeding, the operator shall consult a veterinarian or an independent qualified person acting under the responsibility of a veterinarian. That veterinarian or independent qualified person shall assess whether the dog or cat has an excessive conformational trait.</w:t>
            </w:r>
          </w:p>
          <w:p>
            <w:pPr>
              <w:spacing w:before="50" w:after="20"/>
            </w:pPr>
            <w:r>
              <w:rPr>
                <w:b/>
                <w:color w:val="1F4E79"/>
                <w:sz w:val="13"/>
              </w:rPr>
              <w:t>▸ Prazo [Art. 33, ponto (iii)]:</w:t>
            </w:r>
          </w:p>
          <w:p>
            <w:pPr>
              <w:spacing w:before="0" w:after="0"/>
            </w:pPr>
            <w:r>
              <w:rPr>
                <w:i/>
                <w:color w:val="1F4E79"/>
                <w:sz w:val="14"/>
              </w:rPr>
              <w:t>Article 8(2) shall apply from 1 July 2030.</w:t>
            </w: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FFFFFF"/>
            <w:tcW w:w="600" w:type="dxa"/>
            <w:vAlign w:val="center"/>
            <w:tcMar>
              <w:top w:w="40" w:type="dxa"/>
              <w:bottom w:w="40" w:type="dxa"/>
              <w:left w:w="8" w:type="dxa"/>
              <w:right w:w="8" w:type="dxa"/>
            </w:tcMar>
          </w:tcPr>
          <w:p>
            <w:pPr>
              <w:spacing w:before="0" w:after="0"/>
              <w:jc w:val="center"/>
            </w:pPr>
          </w:p>
        </w:tc>
      </w:tr>
      <w:tr>
        <w:tc>
          <w:tcPr>
            <w:shd w:val="clear" w:color="auto" w:fill="EBF3FB"/>
            <w:tcW w:w="7937" w:type="dxa"/>
            <w:vAlign w:val="top"/>
            <w:tcMar>
              <w:top w:w="50" w:type="dxa"/>
              <w:bottom w:w="50" w:type="dxa"/>
              <w:left w:w="80" w:type="dxa"/>
              <w:right w:w="60" w:type="dxa"/>
            </w:tcMar>
          </w:tcPr>
          <w:p>
            <w:pPr>
              <w:spacing w:before="0" w:after="40"/>
            </w:pPr>
            <w:r>
              <w:rPr>
                <w:b/>
                <w:color w:val="1F4E79"/>
                <w:sz w:val="16"/>
              </w:rPr>
              <w:t>Art. 12(2)(3)</w:t>
              <w:br/>
            </w:r>
            <w:r>
              <w:rPr>
                <w:i/>
                <w:color w:val="808080"/>
                <w:sz w:val="13"/>
              </w:rPr>
              <w:t>[via Art. 33, ponto (v)]</w:t>
            </w:r>
          </w:p>
          <w:p>
            <w:pPr>
              <w:spacing w:before="0" w:after="0"/>
            </w:pPr>
            <w:r>
              <w:rPr>
                <w:color w:val="303030"/>
                <w:sz w:val="14"/>
              </w:rPr>
              <w:t>2. The competences referred to in paragraph 1 may be acquired through education, training or professional experience. Only documented education, training or professional experience shall be taken into account when determining whether an animal carer has the competences referred to in paragraph 1.</w:t>
            </w:r>
          </w:p>
          <w:p>
            <w:pPr>
              <w:spacing w:before="0" w:after="0"/>
            </w:pPr>
            <w:r>
              <w:rPr>
                <w:color w:val="303030"/>
                <w:sz w:val="14"/>
              </w:rPr>
              <w:t>3. Operators shall ensure that at least one animal carer, other than a volunteer or intern, at the establishment has completed the training courses referred to in Article 22. Operators shall ensure that that animal carer transfers his or her knowledge to the other animal carers of the establishment.</w:t>
            </w:r>
          </w:p>
          <w:p>
            <w:pPr>
              <w:spacing w:before="50" w:after="20"/>
            </w:pPr>
            <w:r>
              <w:rPr>
                <w:b/>
                <w:color w:val="1F4E79"/>
                <w:sz w:val="13"/>
              </w:rPr>
              <w:t>▸ Prazo [Art. 33, ponto (v)]:</w:t>
            </w:r>
          </w:p>
          <w:p>
            <w:pPr>
              <w:spacing w:before="0" w:after="0"/>
            </w:pPr>
            <w:r>
              <w:rPr>
                <w:i/>
                <w:color w:val="1F4E79"/>
                <w:sz w:val="14"/>
              </w:rPr>
              <w:t>Article 12(2) and (3) shall apply from … [seven years from the date of entry into force of this Regulation].</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r>
      <w:tr>
        <w:tc>
          <w:tcPr>
            <w:shd w:val="clear" w:color="auto" w:fill="FFFFFF"/>
            <w:tcW w:w="7937" w:type="dxa"/>
            <w:vAlign w:val="top"/>
            <w:tcMar>
              <w:top w:w="50" w:type="dxa"/>
              <w:bottom w:w="50" w:type="dxa"/>
              <w:left w:w="80" w:type="dxa"/>
              <w:right w:w="60" w:type="dxa"/>
            </w:tcMar>
          </w:tcPr>
          <w:p>
            <w:pPr>
              <w:spacing w:before="0" w:after="40"/>
            </w:pPr>
            <w:r>
              <w:rPr>
                <w:b/>
                <w:color w:val="1F4E79"/>
                <w:sz w:val="16"/>
              </w:rPr>
              <w:t>Art. 12(4)</w:t>
            </w:r>
          </w:p>
          <w:p>
            <w:pPr>
              <w:spacing w:before="0" w:after="60"/>
            </w:pPr>
            <w:r>
              <w:rPr>
                <w:color w:val="303030"/>
                <w:sz w:val="14"/>
              </w:rPr>
              <w:t>4. The Commission shall adopt implementing acts, laying down minimum requirements concerning the formal education, training or professional experience referred to in paragraph 2 of this Article necessary to determine whether an animal carer has the competences referred to in paragraph 1 and for the training courses referred to in paragraph 3. The implementing act concerning the training courses referred to in paragraph 3 shall be adopted by ... [3 years from the date of entry into force of this Regulation]. Those implementing acts shall be adopted in accordance with the examination procedure referred to in Article 29.</w:t>
            </w: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r>
      <w:tr>
        <w:tc>
          <w:tcPr>
            <w:shd w:val="clear" w:color="auto" w:fill="EBF3FB"/>
            <w:tcW w:w="7937" w:type="dxa"/>
            <w:vAlign w:val="top"/>
            <w:tcMar>
              <w:top w:w="50" w:type="dxa"/>
              <w:bottom w:w="50" w:type="dxa"/>
              <w:left w:w="80" w:type="dxa"/>
              <w:right w:w="60" w:type="dxa"/>
            </w:tcMar>
          </w:tcPr>
          <w:p>
            <w:pPr>
              <w:spacing w:before="0" w:after="40"/>
            </w:pPr>
            <w:r>
              <w:rPr>
                <w:b/>
                <w:color w:val="1F4E79"/>
                <w:sz w:val="16"/>
              </w:rPr>
              <w:t>Art. 13(1)(a)</w:t>
            </w:r>
          </w:p>
          <w:p>
            <w:pPr>
              <w:spacing w:before="0" w:after="0"/>
            </w:pPr>
            <w:r>
              <w:rPr>
                <w:color w:val="303030"/>
                <w:sz w:val="14"/>
              </w:rPr>
              <w:t>1. Operators shall:</w:t>
            </w:r>
          </w:p>
          <w:p>
            <w:pPr>
              <w:spacing w:before="0" w:after="60"/>
            </w:pPr>
            <w:r>
              <w:rPr>
                <w:color w:val="303030"/>
                <w:sz w:val="14"/>
              </w:rPr>
              <w:t>(a) ensure that the establishments for which they are responsible receive a visit by a veterinarian for the purpose of identifying and assessing any risk factor for the welfare of the dogs or cats and advising the operator on measures to address those risks initially by ... [date three years after the date of entry into force of this Regulation] or one year following the notification of the new establishment, and thereafter when appropriate, based on a risk analysis by the competent authorities, or on an annual basis if Member States so provide in their national law;</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r>
      <w:tr>
        <w:tc>
          <w:tcPr>
            <w:shd w:val="clear" w:color="auto" w:fill="FFFFFF"/>
            <w:tcW w:w="7937" w:type="dxa"/>
            <w:vAlign w:val="top"/>
            <w:tcMar>
              <w:top w:w="50" w:type="dxa"/>
              <w:bottom w:w="50" w:type="dxa"/>
              <w:left w:w="80" w:type="dxa"/>
              <w:right w:w="60" w:type="dxa"/>
            </w:tcMar>
          </w:tcPr>
          <w:p>
            <w:pPr>
              <w:spacing w:before="0" w:after="40"/>
            </w:pPr>
            <w:r>
              <w:rPr>
                <w:b/>
                <w:color w:val="1F4E79"/>
                <w:sz w:val="16"/>
              </w:rPr>
              <w:t>Art. 13(2)</w:t>
            </w:r>
          </w:p>
          <w:p>
            <w:pPr>
              <w:spacing w:before="0" w:after="60"/>
            </w:pPr>
            <w:r>
              <w:rPr>
                <w:color w:val="303030"/>
                <w:sz w:val="14"/>
              </w:rPr>
              <w:t>2. By ... [date 24 months from the date of entry into force of this Regulation], the Commission shall adopt delegated acts in accordance with Article 28 supplementing this Article by laying down the minimum criteria to be assessed by the veterinarian during the advisory welfare visit.</w:t>
            </w:r>
          </w:p>
        </w:tc>
        <w:tc>
          <w:tcPr>
            <w:shd w:val="clear" w:color="auto" w:fill="FFFFFF"/>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r>
      <w:tr>
        <w:tc>
          <w:tcPr>
            <w:shd w:val="clear" w:color="auto" w:fill="EBF3FB"/>
            <w:tcW w:w="7937" w:type="dxa"/>
            <w:vAlign w:val="top"/>
            <w:tcMar>
              <w:top w:w="50" w:type="dxa"/>
              <w:bottom w:w="50" w:type="dxa"/>
              <w:left w:w="80" w:type="dxa"/>
              <w:right w:w="60" w:type="dxa"/>
            </w:tcMar>
          </w:tcPr>
          <w:p>
            <w:pPr>
              <w:spacing w:before="0" w:after="40"/>
            </w:pPr>
            <w:r>
              <w:rPr>
                <w:b/>
                <w:color w:val="1F4E79"/>
                <w:sz w:val="16"/>
              </w:rPr>
              <w:t>Art. 16</w:t>
              <w:br/>
            </w:r>
            <w:r>
              <w:rPr>
                <w:i/>
                <w:color w:val="808080"/>
                <w:sz w:val="13"/>
              </w:rPr>
              <w:t>[via Art. 33, ponto (i)]</w:t>
            </w:r>
          </w:p>
          <w:p>
            <w:pPr>
              <w:spacing w:before="0" w:after="0"/>
            </w:pPr>
            <w:r>
              <w:rPr>
                <w:color w:val="303030"/>
                <w:sz w:val="14"/>
              </w:rPr>
              <w:t>1. Operators shall ensure that:</w:t>
            </w:r>
          </w:p>
          <w:p>
            <w:pPr>
              <w:spacing w:before="0" w:after="0"/>
            </w:pPr>
            <w:r>
              <w:rPr>
                <w:color w:val="303030"/>
                <w:sz w:val="14"/>
              </w:rPr>
              <w:t>(a) dogs or cats for which they are responsible are inspected by animal carers at least once a day and that vulnerable dogs and cats, such as newborns, ill or injured dogs and cats, and peri-partum bitches and queens, are inspected more frequently;</w:t>
            </w:r>
          </w:p>
          <w:p>
            <w:pPr>
              <w:spacing w:before="0" w:after="0"/>
            </w:pPr>
            <w:r>
              <w:rPr>
                <w:color w:val="303030"/>
                <w:sz w:val="14"/>
              </w:rPr>
              <w:t>(b) dogs or cats with compromised welfare are, where necessary, transferred without undue delay to a separate area and, where necessary, receive appropriate treatment;</w:t>
            </w:r>
          </w:p>
          <w:p>
            <w:pPr>
              <w:spacing w:before="0" w:after="0"/>
            </w:pPr>
            <w:r>
              <w:rPr>
                <w:color w:val="303030"/>
                <w:sz w:val="14"/>
              </w:rPr>
              <w:t>(c) where the recovery of a dog or a cat whose welfare is compromised is not achievable and the dog or cat experiences severe pain or suffering, a veterinarian is consulted without undue delay to decide whether the dog or cat is to be euthanised to end its suffering, and, if that is the case, to perform the euthanasia using anaesthesia and analgesia;</w:t>
            </w:r>
          </w:p>
          <w:p>
            <w:pPr>
              <w:spacing w:before="0" w:after="0"/>
            </w:pPr>
            <w:r>
              <w:rPr>
                <w:color w:val="303030"/>
                <w:sz w:val="14"/>
              </w:rPr>
              <w:t>(d) measures are taken to prevent and control external and internal parasites, and vaccinations are carried out to prevent common diseases to which dogs or cats are likely to be exposed;</w:t>
            </w:r>
          </w:p>
          <w:p>
            <w:pPr>
              <w:spacing w:before="0" w:after="0"/>
            </w:pPr>
            <w:r>
              <w:rPr>
                <w:color w:val="303030"/>
                <w:sz w:val="14"/>
              </w:rPr>
              <w:t>(e) enrichments that are used do not present a significant risk to dogs and cats of injury or biological or chemical contamination or any other health risk.</w:t>
            </w:r>
          </w:p>
          <w:p>
            <w:pPr>
              <w:spacing w:before="0" w:after="0"/>
            </w:pPr>
            <w:r>
              <w:rPr>
                <w:color w:val="303030"/>
                <w:sz w:val="14"/>
              </w:rPr>
              <w:t>2. Operators of breeding establishments shall ensure that:</w:t>
            </w:r>
          </w:p>
          <w:p>
            <w:pPr>
              <w:spacing w:before="0" w:after="0"/>
            </w:pPr>
            <w:r>
              <w:rPr>
                <w:color w:val="303030"/>
                <w:sz w:val="14"/>
              </w:rPr>
              <w:t>(a) measures are taken to safeguard the health of dogs or cats in accordance with point 3 of Annex I;</w:t>
            </w:r>
          </w:p>
          <w:p>
            <w:pPr>
              <w:spacing w:before="0" w:after="0"/>
            </w:pPr>
            <w:r>
              <w:rPr>
                <w:color w:val="303030"/>
                <w:sz w:val="14"/>
              </w:rPr>
              <w:t>(b) bitches or queens are bred only if they have reached a minimum age and skeletal maturity in accordance with point 3 of Annex I, and only if they have no diagnosed disease, clinical sign of diseases or physical conditions which could negatively impact their pregnancy and welfare;</w:t>
            </w:r>
          </w:p>
          <w:p>
            <w:pPr>
              <w:spacing w:before="0" w:after="0"/>
            </w:pPr>
            <w:r>
              <w:rPr>
                <w:color w:val="303030"/>
                <w:sz w:val="14"/>
              </w:rPr>
              <w:t>(c) the litter-giving pregnancies of bitches or queens follows a maximum frequency in accordance with point 3 of Annex I;</w:t>
            </w:r>
          </w:p>
          <w:p>
            <w:pPr>
              <w:spacing w:before="0" w:after="0"/>
            </w:pPr>
            <w:r>
              <w:rPr>
                <w:color w:val="303030"/>
                <w:sz w:val="14"/>
              </w:rPr>
              <w:t>(d) lactating queens are not mated or inseminated;</w:t>
            </w:r>
          </w:p>
          <w:p>
            <w:pPr>
              <w:spacing w:before="0" w:after="0"/>
            </w:pPr>
            <w:r>
              <w:rPr>
                <w:color w:val="303030"/>
                <w:sz w:val="14"/>
              </w:rPr>
              <w:t>(e) dogs and cats which are no longer used for reproduction, including as a result of the provisions of this Regulation, are either kept or sold, donated or rehomed, and not killed or abandoned.</w:t>
            </w:r>
          </w:p>
          <w:p>
            <w:pPr>
              <w:spacing w:before="50" w:after="20"/>
            </w:pPr>
            <w:r>
              <w:rPr>
                <w:b/>
                <w:color w:val="1F4E79"/>
                <w:sz w:val="13"/>
              </w:rPr>
              <w:t>▸ Prazo [Art. 33, ponto (i)]:</w:t>
            </w:r>
          </w:p>
          <w:p>
            <w:pPr>
              <w:spacing w:before="0" w:after="0"/>
            </w:pPr>
            <w:r>
              <w:rPr>
                <w:i/>
                <w:color w:val="1F4E79"/>
                <w:sz w:val="14"/>
              </w:rPr>
              <w:t>Article 16 shall apply from … [three years from the date of entry into force of this Regulation].</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r>
      <w:tr>
        <w:tc>
          <w:tcPr>
            <w:tcW w:type="dxa" w:w="15132"/>
            <w:gridSpan w:val="13"/>
            <w:shd w:val="clear" w:color="auto" w:fill="D9E8F5"/>
            <w:vAlign w:val="center"/>
            <w:tcMar>
              <w:top w:w="50" w:type="dxa"/>
              <w:bottom w:w="50" w:type="dxa"/>
              <w:left w:w="100" w:type="dxa"/>
              <w:right w:w="80" w:type="dxa"/>
            </w:tcMar>
          </w:tcPr>
          <w:p>
            <w:pPr>
              <w:spacing w:before="0" w:after="0"/>
            </w:pPr>
            <w:r>
              <w:rPr>
                <w:b/>
                <w:i/>
                <w:color w:val="1F4E79"/>
                <w:sz w:val="17"/>
              </w:rPr>
              <w:t>Grupo 2 — Identificação e Rastreabilidade</w:t>
            </w:r>
          </w:p>
        </w:tc>
      </w:tr>
      <w:tr>
        <w:tc>
          <w:tcPr>
            <w:shd w:val="clear" w:color="auto" w:fill="EBF3FB"/>
            <w:tcW w:w="7937" w:type="dxa"/>
            <w:vAlign w:val="top"/>
            <w:tcMar>
              <w:top w:w="50" w:type="dxa"/>
              <w:bottom w:w="50" w:type="dxa"/>
              <w:left w:w="80" w:type="dxa"/>
              <w:right w:w="60" w:type="dxa"/>
            </w:tcMar>
          </w:tcPr>
          <w:p>
            <w:pPr>
              <w:spacing w:before="0" w:after="40"/>
            </w:pPr>
            <w:r>
              <w:rPr>
                <w:b/>
                <w:color w:val="1F4E79"/>
                <w:sz w:val="16"/>
              </w:rPr>
              <w:t>Art. 20(2)</w:t>
            </w:r>
          </w:p>
          <w:p>
            <w:pPr>
              <w:spacing w:before="0" w:after="0"/>
            </w:pPr>
            <w:r>
              <w:rPr>
                <w:color w:val="303030"/>
                <w:sz w:val="14"/>
              </w:rPr>
              <w:t>2. Operators shall ensure that dogs and cats born in their establishments are individually identified within three months after their birth, and in any event before the date that they are placed on the market.</w:t>
            </w:r>
          </w:p>
          <w:p>
            <w:pPr>
              <w:spacing w:before="0" w:after="0"/>
            </w:pPr>
            <w:r>
              <w:rPr>
                <w:color w:val="303030"/>
                <w:sz w:val="14"/>
              </w:rPr>
              <w:t>Operators of selling establishments and shelters, and operators who place and are responsible for dogs and cats in foster homes shall ensure that dogs and cats that enter their establishments or come under their responsibility are individually identified within 30 days of arrival and in any event before the date of their placing on the market.</w:t>
            </w:r>
          </w:p>
          <w:p>
            <w:pPr>
              <w:spacing w:before="0" w:after="0"/>
            </w:pPr>
            <w:r>
              <w:rPr>
                <w:color w:val="303030"/>
                <w:sz w:val="14"/>
              </w:rPr>
              <w:t>Pet owners and any other natural or legal persons other than operators who own dogs or cats, shall ensure that every dog or cat is individually identified at the latest when it reaches the age of three months or, if the dog or cat is placed on the market, before the date of that placing on the market.</w:t>
            </w:r>
          </w:p>
          <w:p>
            <w:pPr>
              <w:spacing w:before="0" w:after="0"/>
            </w:pPr>
            <w:r>
              <w:rPr>
                <w:color w:val="303030"/>
                <w:sz w:val="14"/>
              </w:rPr>
              <w:t>The implantation of the transponder shall be performed by a veterinarian. Member States may allow the implantation of transponders by persons other than veterinarians provided that they adopt national rules laying down the minimum qualifications that such persons are required to have.</w:t>
            </w:r>
          </w:p>
          <w:p>
            <w:pPr>
              <w:spacing w:before="0" w:after="60"/>
            </w:pPr>
            <w:r>
              <w:rPr>
                <w:color w:val="303030"/>
                <w:sz w:val="14"/>
              </w:rPr>
              <w:t>Where dogs and cats have been individually identified by means of an injectable transponder containing a microchip in accordance with Union or national law before … [date two years after the date of entry into force of this Regulation] they shall be considered to be compliant with the requirements in paragraph 1 and the first, second, third and fourth subparagraphs of this paragraph, provided that the microchip is still readable.</w:t>
            </w:r>
          </w:p>
        </w:tc>
        <w:tc>
          <w:tcPr>
            <w:shd w:val="clear" w:color="auto" w:fill="EBF3FB"/>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r>
      <w:tr>
        <w:tc>
          <w:tcPr>
            <w:shd w:val="clear" w:color="auto" w:fill="FFFFFF"/>
            <w:tcW w:w="7937" w:type="dxa"/>
            <w:vAlign w:val="top"/>
            <w:tcMar>
              <w:top w:w="50" w:type="dxa"/>
              <w:bottom w:w="50" w:type="dxa"/>
              <w:left w:w="80" w:type="dxa"/>
              <w:right w:w="60" w:type="dxa"/>
            </w:tcMar>
          </w:tcPr>
          <w:p>
            <w:pPr>
              <w:spacing w:before="0" w:after="40"/>
            </w:pPr>
            <w:r>
              <w:rPr>
                <w:b/>
                <w:color w:val="1F4E79"/>
                <w:sz w:val="16"/>
              </w:rPr>
              <w:t>Art. 20(7)(a)</w:t>
            </w:r>
          </w:p>
          <w:p>
            <w:pPr>
              <w:spacing w:before="0" w:after="0"/>
            </w:pPr>
            <w:r>
              <w:rPr>
                <w:color w:val="303030"/>
                <w:sz w:val="14"/>
              </w:rPr>
              <w:t>7. The identification and registration requirements of this Article shall apply as follows:</w:t>
            </w:r>
          </w:p>
          <w:p>
            <w:pPr>
              <w:spacing w:before="0" w:after="60"/>
            </w:pPr>
            <w:r>
              <w:rPr>
                <w:color w:val="303030"/>
                <w:sz w:val="14"/>
              </w:rPr>
              <w:t>(a) for operators and natural or legal persons placing dogs and cats on the market from ... [4 years from the entry into force of this Regulation];</w:t>
            </w: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r>
      <w:tr>
        <w:tc>
          <w:tcPr>
            <w:shd w:val="clear" w:color="auto" w:fill="EBF3FB"/>
            <w:tcW w:w="7937" w:type="dxa"/>
            <w:vAlign w:val="top"/>
            <w:tcMar>
              <w:top w:w="50" w:type="dxa"/>
              <w:bottom w:w="50" w:type="dxa"/>
              <w:left w:w="80" w:type="dxa"/>
              <w:right w:w="60" w:type="dxa"/>
            </w:tcMar>
          </w:tcPr>
          <w:p>
            <w:pPr>
              <w:spacing w:before="0" w:after="40"/>
            </w:pPr>
            <w:r>
              <w:rPr>
                <w:b/>
                <w:color w:val="1F4E79"/>
                <w:sz w:val="16"/>
              </w:rPr>
              <w:t>Art. 20(7)(b)</w:t>
            </w:r>
          </w:p>
          <w:p>
            <w:pPr>
              <w:spacing w:before="0" w:after="60"/>
            </w:pPr>
            <w:r>
              <w:rPr>
                <w:color w:val="303030"/>
                <w:sz w:val="14"/>
              </w:rPr>
              <w:t>(b) for pet owners and other natural or legal persons other than operators, who do not place dogs on the market: from … [10 years from entry into force of this Regulation];</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r>
      <w:tr>
        <w:tc>
          <w:tcPr>
            <w:shd w:val="clear" w:color="auto" w:fill="FFFFFF"/>
            <w:tcW w:w="7937" w:type="dxa"/>
            <w:vAlign w:val="top"/>
            <w:tcMar>
              <w:top w:w="50" w:type="dxa"/>
              <w:bottom w:w="50" w:type="dxa"/>
              <w:left w:w="80" w:type="dxa"/>
              <w:right w:w="60" w:type="dxa"/>
            </w:tcMar>
          </w:tcPr>
          <w:p>
            <w:pPr>
              <w:spacing w:before="0" w:after="40"/>
            </w:pPr>
            <w:r>
              <w:rPr>
                <w:b/>
                <w:color w:val="1F4E79"/>
                <w:sz w:val="16"/>
              </w:rPr>
              <w:t>Art. 20(7)(c)</w:t>
            </w:r>
          </w:p>
          <w:p>
            <w:pPr>
              <w:spacing w:before="0" w:after="60"/>
            </w:pPr>
            <w:r>
              <w:rPr>
                <w:color w:val="303030"/>
                <w:sz w:val="14"/>
              </w:rPr>
              <w:t>(c) for pet owners and other natural or legal persons other than operators, who do not place cats on the market: from … [15 years from entry into force of this Regulation].</w:t>
            </w: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r>
      <w:tr>
        <w:tc>
          <w:tcPr>
            <w:tcW w:type="dxa" w:w="15132"/>
            <w:gridSpan w:val="13"/>
            <w:shd w:val="clear" w:color="auto" w:fill="D9E8F5"/>
            <w:vAlign w:val="center"/>
            <w:tcMar>
              <w:top w:w="50" w:type="dxa"/>
              <w:bottom w:w="50" w:type="dxa"/>
              <w:left w:w="100" w:type="dxa"/>
              <w:right w:w="80" w:type="dxa"/>
            </w:tcMar>
          </w:tcPr>
          <w:p>
            <w:pPr>
              <w:spacing w:before="0" w:after="0"/>
            </w:pPr>
            <w:r>
              <w:rPr>
                <w:b/>
                <w:i/>
                <w:color w:val="1F4E79"/>
                <w:sz w:val="17"/>
              </w:rPr>
              <w:t>Grupo 3 — Bases de Dados e Publicidade Online</w:t>
            </w:r>
          </w:p>
        </w:tc>
      </w:tr>
      <w:tr>
        <w:tc>
          <w:tcPr>
            <w:shd w:val="clear" w:color="auto" w:fill="EBF3FB"/>
            <w:tcW w:w="7937" w:type="dxa"/>
            <w:vAlign w:val="top"/>
            <w:tcMar>
              <w:top w:w="50" w:type="dxa"/>
              <w:bottom w:w="50" w:type="dxa"/>
              <w:left w:w="80" w:type="dxa"/>
              <w:right w:w="60" w:type="dxa"/>
            </w:tcMar>
          </w:tcPr>
          <w:p>
            <w:pPr>
              <w:spacing w:before="0" w:after="40"/>
            </w:pPr>
            <w:r>
              <w:rPr>
                <w:b/>
                <w:color w:val="1F4E79"/>
                <w:sz w:val="16"/>
              </w:rPr>
              <w:t>Art. 21(3)</w:t>
              <w:br/>
            </w:r>
            <w:r>
              <w:rPr>
                <w:i/>
                <w:color w:val="808080"/>
                <w:sz w:val="13"/>
              </w:rPr>
              <w:t>[via Art. 33, ponto (ii)]</w:t>
            </w:r>
          </w:p>
          <w:p>
            <w:pPr>
              <w:spacing w:before="0" w:after="0"/>
            </w:pPr>
            <w:r>
              <w:rPr>
                <w:color w:val="303030"/>
                <w:sz w:val="14"/>
              </w:rPr>
              <w:t>3. When placing a dog or a cat on the market in the Union, the natural or legal person placing the dog or cat on the market shall provide the acquirer with:</w:t>
            </w:r>
          </w:p>
          <w:p>
            <w:pPr>
              <w:spacing w:before="0" w:after="0"/>
            </w:pPr>
            <w:r>
              <w:rPr>
                <w:color w:val="303030"/>
                <w:sz w:val="14"/>
              </w:rPr>
              <w:t>(a) proof of the identification and registration of the dog or cat in compliance with Article 20;</w:t>
            </w:r>
          </w:p>
          <w:p>
            <w:pPr>
              <w:spacing w:before="0" w:after="0"/>
            </w:pPr>
            <w:r>
              <w:rPr>
                <w:color w:val="303030"/>
                <w:sz w:val="14"/>
              </w:rPr>
              <w:t>(b) the following information on the dog or cat:</w:t>
            </w:r>
          </w:p>
          <w:p>
            <w:pPr>
              <w:spacing w:before="0" w:after="0"/>
            </w:pPr>
            <w:r>
              <w:rPr>
                <w:color w:val="303030"/>
                <w:sz w:val="14"/>
              </w:rPr>
              <w:t>(i) its species;</w:t>
            </w:r>
          </w:p>
          <w:p>
            <w:pPr>
              <w:spacing w:before="0" w:after="0"/>
            </w:pPr>
            <w:r>
              <w:rPr>
                <w:color w:val="303030"/>
                <w:sz w:val="14"/>
              </w:rPr>
              <w:t>(ii) its sex;</w:t>
            </w:r>
          </w:p>
          <w:p>
            <w:pPr>
              <w:spacing w:before="0" w:after="0"/>
            </w:pPr>
            <w:r>
              <w:rPr>
                <w:color w:val="303030"/>
                <w:sz w:val="14"/>
              </w:rPr>
              <w:t>(iii) its date and country of birth; and</w:t>
            </w:r>
          </w:p>
          <w:p>
            <w:pPr>
              <w:spacing w:before="0" w:after="0"/>
            </w:pPr>
            <w:r>
              <w:rPr>
                <w:color w:val="303030"/>
                <w:sz w:val="14"/>
              </w:rPr>
              <w:t>(iv) where relevant, its breed.</w:t>
            </w:r>
          </w:p>
          <w:p>
            <w:pPr>
              <w:spacing w:before="0" w:after="0"/>
            </w:pPr>
            <w:r>
              <w:rPr>
                <w:color w:val="303030"/>
                <w:sz w:val="14"/>
              </w:rPr>
              <w:t>Where a natural or legal person advertises a dog or cat online with a view to placing it on the Union market, that person shall use the system referred to in paragraph 5 to generate a unique verification token. That person shall include that token in the advertisement, along with a weblink to the system referred to in paragraph 5.</w:t>
            </w:r>
          </w:p>
          <w:p>
            <w:pPr>
              <w:spacing w:before="0" w:after="0"/>
            </w:pPr>
            <w:r>
              <w:rPr>
                <w:color w:val="303030"/>
                <w:sz w:val="14"/>
              </w:rPr>
              <w:t>The system referred to in paragraph 5 shall enable acquirers to verify the authenticity of the identification, registration and ownership of dogs or cats advertised online.</w:t>
            </w:r>
          </w:p>
          <w:p>
            <w:pPr>
              <w:spacing w:before="50" w:after="20"/>
            </w:pPr>
            <w:r>
              <w:rPr>
                <w:b/>
                <w:color w:val="1F4E79"/>
                <w:sz w:val="13"/>
              </w:rPr>
              <w:t>▸ Prazo [Art. 33, ponto (ii)]:</w:t>
            </w:r>
          </w:p>
          <w:p>
            <w:pPr>
              <w:spacing w:before="0" w:after="0"/>
            </w:pPr>
            <w:r>
              <w:rPr>
                <w:i/>
                <w:color w:val="1F4E79"/>
                <w:sz w:val="14"/>
              </w:rPr>
              <w:t>Article 21(3) and Article 23(1) shall apply from … [four years from entry into force of this Regulation].</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r>
      <w:tr>
        <w:tc>
          <w:tcPr>
            <w:shd w:val="clear" w:color="auto" w:fill="FFFFFF"/>
            <w:tcW w:w="7937" w:type="dxa"/>
            <w:vAlign w:val="top"/>
            <w:tcMar>
              <w:top w:w="50" w:type="dxa"/>
              <w:bottom w:w="50" w:type="dxa"/>
              <w:left w:w="80" w:type="dxa"/>
              <w:right w:w="60" w:type="dxa"/>
            </w:tcMar>
          </w:tcPr>
          <w:p>
            <w:pPr>
              <w:spacing w:before="0" w:after="40"/>
            </w:pPr>
            <w:r>
              <w:rPr>
                <w:b/>
                <w:color w:val="1F4E79"/>
                <w:sz w:val="16"/>
              </w:rPr>
              <w:t>Art. 21(6)(a)</w:t>
            </w:r>
          </w:p>
          <w:p>
            <w:pPr>
              <w:spacing w:before="0" w:after="0"/>
            </w:pPr>
            <w:r>
              <w:rPr>
                <w:color w:val="303030"/>
                <w:sz w:val="14"/>
              </w:rPr>
              <w:t>6. The Commission shall adopt implementing acts laying down:</w:t>
            </w:r>
          </w:p>
          <w:p>
            <w:pPr>
              <w:spacing w:before="0" w:after="0"/>
            </w:pPr>
            <w:r>
              <w:rPr>
                <w:color w:val="303030"/>
                <w:sz w:val="14"/>
              </w:rPr>
              <w:t>(a) the information to be provided by natural and legal persons placing dogs or cats on the market as proof of identification and registration of the dogs and cats in accordance with point (a) of paragraph 3;</w:t>
            </w:r>
          </w:p>
          <w:p>
            <w:pPr>
              <w:spacing w:before="0" w:after="60"/>
            </w:pPr>
            <w:r>
              <w:rPr>
                <w:color w:val="303030"/>
                <w:sz w:val="14"/>
              </w:rPr>
              <w:t>The implementing acts referred to in point (a) shall be adopted by ... [two years after the date of entry into force of this Regulation] and the implementing act referred to in points (b) and (c) shall be adopted by ... [three years from date of entry into force of this Regulation]. Those implementing acts shall be adopted in accordance with the examination procedure referred to in Article 29.</w:t>
            </w:r>
          </w:p>
        </w:tc>
        <w:tc>
          <w:tcPr>
            <w:shd w:val="clear" w:color="auto" w:fill="FFFFFF"/>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r>
      <w:tr>
        <w:tc>
          <w:tcPr>
            <w:shd w:val="clear" w:color="auto" w:fill="EBF3FB"/>
            <w:tcW w:w="7937" w:type="dxa"/>
            <w:vAlign w:val="top"/>
            <w:tcMar>
              <w:top w:w="50" w:type="dxa"/>
              <w:bottom w:w="50" w:type="dxa"/>
              <w:left w:w="80" w:type="dxa"/>
              <w:right w:w="60" w:type="dxa"/>
            </w:tcMar>
          </w:tcPr>
          <w:p>
            <w:pPr>
              <w:spacing w:before="0" w:after="40"/>
            </w:pPr>
            <w:r>
              <w:rPr>
                <w:b/>
                <w:color w:val="1F4E79"/>
                <w:sz w:val="16"/>
              </w:rPr>
              <w:t>Art. 21(6)(b)(c)</w:t>
            </w:r>
          </w:p>
          <w:p>
            <w:pPr>
              <w:spacing w:before="0" w:after="0"/>
            </w:pPr>
            <w:r>
              <w:rPr>
                <w:color w:val="303030"/>
                <w:sz w:val="14"/>
              </w:rPr>
              <w:t>(b) the information to be provided by natural and legal persons advertising dogs or cats to the verification system referred to in paragraph 5 for the purpose of demonstrating the authenticity of the identification, registration and ownership of the dog or cat advertised.</w:t>
            </w:r>
          </w:p>
          <w:p>
            <w:pPr>
              <w:spacing w:before="0" w:after="0"/>
            </w:pPr>
            <w:r>
              <w:rPr>
                <w:color w:val="303030"/>
                <w:sz w:val="14"/>
              </w:rPr>
              <w:t>(c) the following characteristics of the system referred to in paragraph 5:</w:t>
            </w:r>
          </w:p>
          <w:p>
            <w:pPr>
              <w:spacing w:before="0" w:after="0"/>
            </w:pPr>
            <w:r>
              <w:rPr>
                <w:color w:val="303030"/>
                <w:sz w:val="14"/>
              </w:rPr>
              <w:t>— the key functions of the system;</w:t>
            </w:r>
          </w:p>
          <w:p>
            <w:pPr>
              <w:spacing w:before="0" w:after="0"/>
            </w:pPr>
            <w:r>
              <w:rPr>
                <w:color w:val="303030"/>
                <w:sz w:val="14"/>
              </w:rPr>
              <w:t>— the technical, electronic and cryptographic requirements for the system;</w:t>
            </w:r>
          </w:p>
          <w:p>
            <w:pPr>
              <w:spacing w:before="0" w:after="0"/>
            </w:pPr>
            <w:r>
              <w:rPr>
                <w:color w:val="303030"/>
                <w:sz w:val="14"/>
              </w:rPr>
              <w:t>— the procedural steps to be followed, and the information to be provided, by the natural or legal person placing the dog or cat on the market, and the steps and information required of the acquirer, in order for the online verification system to work.</w:t>
            </w:r>
          </w:p>
          <w:p>
            <w:pPr>
              <w:spacing w:before="0" w:after="60"/>
            </w:pPr>
            <w:r>
              <w:rPr>
                <w:color w:val="303030"/>
                <w:sz w:val="14"/>
              </w:rPr>
              <w:t>The implementing act referred to in points (b) and (c) shall be adopted by ... [three years from date of entry into force of this Regulation].</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r>
      <w:tr>
        <w:tc>
          <w:tcPr>
            <w:shd w:val="clear" w:color="auto" w:fill="FFFFFF"/>
            <w:tcW w:w="7937" w:type="dxa"/>
            <w:vAlign w:val="top"/>
            <w:tcMar>
              <w:top w:w="50" w:type="dxa"/>
              <w:bottom w:w="50" w:type="dxa"/>
              <w:left w:w="80" w:type="dxa"/>
              <w:right w:w="60" w:type="dxa"/>
            </w:tcMar>
          </w:tcPr>
          <w:p>
            <w:pPr>
              <w:spacing w:before="0" w:after="40"/>
            </w:pPr>
            <w:r>
              <w:rPr>
                <w:b/>
                <w:color w:val="1F4E79"/>
                <w:sz w:val="16"/>
              </w:rPr>
              <w:t>Art. 23(1)</w:t>
              <w:br/>
            </w:r>
            <w:r>
              <w:rPr>
                <w:i/>
                <w:color w:val="808080"/>
                <w:sz w:val="13"/>
              </w:rPr>
              <w:t>[via Art. 33, ponto (ii)]</w:t>
            </w:r>
          </w:p>
          <w:p>
            <w:pPr>
              <w:spacing w:before="0" w:after="0"/>
            </w:pPr>
            <w:r>
              <w:rPr>
                <w:color w:val="303030"/>
                <w:sz w:val="14"/>
              </w:rPr>
              <w:t>1. Member States shall be responsible for establishing and maintaining databases for the registration of identified dogs and cats in accordance with Article 20(1) and (2) and Article 26(3) and Article 26(4), second subparagraph.</w:t>
            </w:r>
          </w:p>
          <w:p>
            <w:pPr>
              <w:spacing w:before="50" w:after="20"/>
            </w:pPr>
            <w:r>
              <w:rPr>
                <w:b/>
                <w:color w:val="1F4E79"/>
                <w:sz w:val="13"/>
              </w:rPr>
              <w:t>▸ Prazo [Art. 33, ponto (ii)]:</w:t>
            </w:r>
          </w:p>
          <w:p>
            <w:pPr>
              <w:spacing w:before="0" w:after="0"/>
            </w:pPr>
            <w:r>
              <w:rPr>
                <w:i/>
                <w:color w:val="1F4E79"/>
                <w:sz w:val="14"/>
              </w:rPr>
              <w:t>Article 21(3) and Article 23(1) shall apply from … [four years from entry into force of this Regulation].</w:t>
            </w: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r>
      <w:tr>
        <w:tc>
          <w:tcPr>
            <w:shd w:val="clear" w:color="auto" w:fill="EBF3FB"/>
            <w:tcW w:w="7937" w:type="dxa"/>
            <w:vAlign w:val="top"/>
            <w:tcMar>
              <w:top w:w="50" w:type="dxa"/>
              <w:bottom w:w="50" w:type="dxa"/>
              <w:left w:w="80" w:type="dxa"/>
              <w:right w:w="60" w:type="dxa"/>
            </w:tcMar>
          </w:tcPr>
          <w:p>
            <w:pPr>
              <w:spacing w:before="0" w:after="40"/>
            </w:pPr>
            <w:r>
              <w:rPr>
                <w:b/>
                <w:color w:val="1F4E79"/>
                <w:sz w:val="16"/>
              </w:rPr>
              <w:t>Art. 23(4), 2.º §,</w:t>
              <w:br/>
            </w:r>
            <w:r>
              <w:rPr>
                <w:i/>
                <w:color w:val="808080"/>
                <w:sz w:val="13"/>
              </w:rPr>
              <w:t>pontos (a)(c)</w:t>
            </w:r>
          </w:p>
          <w:p>
            <w:pPr>
              <w:spacing w:before="0" w:after="0"/>
            </w:pPr>
            <w:r>
              <w:rPr>
                <w:color w:val="303030"/>
                <w:sz w:val="14"/>
              </w:rPr>
              <w:t>4. The Commission shall establish and maintain an index database containing the minimum set of fields laid down in the implementing acts referred to in subparagraph 2, point (b). […] The Commission shall adopt implementing acts laying down detailed arrangements concerning:</w:t>
            </w:r>
          </w:p>
          <w:p>
            <w:pPr>
              <w:spacing w:before="0" w:after="0"/>
            </w:pPr>
            <w:r>
              <w:rPr>
                <w:color w:val="303030"/>
                <w:sz w:val="14"/>
              </w:rPr>
              <w:t>(a) the minimum content of the databases referred to in paragraph 1;</w:t>
            </w:r>
          </w:p>
          <w:p>
            <w:pPr>
              <w:spacing w:before="0" w:after="0"/>
            </w:pPr>
            <w:r>
              <w:rPr>
                <w:color w:val="303030"/>
                <w:sz w:val="14"/>
              </w:rPr>
              <w:t>(b) the interoperability between Member States' databases and the index database, including the minimum set of fields to be transmitted to the index database and the intervals of the transmission;</w:t>
            </w:r>
          </w:p>
          <w:p>
            <w:pPr>
              <w:spacing w:before="0" w:after="0"/>
            </w:pPr>
            <w:r>
              <w:rPr>
                <w:color w:val="303030"/>
                <w:sz w:val="14"/>
              </w:rPr>
              <w:t>(c) the functionality for providing proof of the identification and registration of a dog or a cat, as referred to in Article 21(3) point (a);</w:t>
            </w:r>
          </w:p>
          <w:p>
            <w:pPr>
              <w:spacing w:before="0" w:after="0"/>
            </w:pPr>
            <w:r>
              <w:rPr>
                <w:color w:val="303030"/>
                <w:sz w:val="14"/>
              </w:rPr>
              <w:t>(d) the registry where Member States will declare their databases, and the necessary parameters for connecting those databases with one another in accordance with the provisions established pursuant to point (b);</w:t>
            </w:r>
          </w:p>
          <w:p>
            <w:pPr>
              <w:spacing w:before="0" w:after="0"/>
            </w:pPr>
            <w:r>
              <w:rPr>
                <w:color w:val="303030"/>
                <w:sz w:val="14"/>
              </w:rPr>
              <w:t>(e) the interconnection between the Member States' databases referred to in paragraph 1, the pet travellers' database referred to in Article 26, paragraph 4, and the Information Management System for Official Controls (IMSOC), where relevant.</w:t>
            </w:r>
          </w:p>
          <w:p>
            <w:pPr>
              <w:spacing w:before="0" w:after="60"/>
            </w:pPr>
            <w:r>
              <w:rPr>
                <w:color w:val="303030"/>
                <w:sz w:val="14"/>
              </w:rPr>
              <w:t>The Commission shall adopt the implementing acts referred to in the second subparagraph, points (a) and (c) by ... [date two years after the date of entry into force of this Regulation].</w:t>
            </w:r>
          </w:p>
        </w:tc>
        <w:tc>
          <w:tcPr>
            <w:shd w:val="clear" w:color="auto" w:fill="EBF3FB"/>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r>
      <w:tr>
        <w:tc>
          <w:tcPr>
            <w:shd w:val="clear" w:color="auto" w:fill="FFFFFF"/>
            <w:tcW w:w="7937" w:type="dxa"/>
            <w:vAlign w:val="top"/>
            <w:tcMar>
              <w:top w:w="50" w:type="dxa"/>
              <w:bottom w:w="50" w:type="dxa"/>
              <w:left w:w="80" w:type="dxa"/>
              <w:right w:w="60" w:type="dxa"/>
            </w:tcMar>
          </w:tcPr>
          <w:p>
            <w:pPr>
              <w:spacing w:before="0" w:after="40"/>
            </w:pPr>
            <w:r>
              <w:rPr>
                <w:b/>
                <w:color w:val="1F4E79"/>
                <w:sz w:val="16"/>
              </w:rPr>
              <w:t>Art. 23(4), 2.º §,</w:t>
              <w:br/>
            </w:r>
            <w:r>
              <w:rPr>
                <w:i/>
                <w:color w:val="808080"/>
                <w:sz w:val="13"/>
              </w:rPr>
              <w:t>pontos (b)(d)(e)</w:t>
            </w:r>
          </w:p>
          <w:p>
            <w:pPr>
              <w:spacing w:before="0" w:after="60"/>
            </w:pPr>
            <w:r>
              <w:rPr>
                <w:color w:val="303030"/>
                <w:sz w:val="14"/>
              </w:rPr>
              <w:t>It shall adopt the implementing acts referred to in the second subparagraph, points (b), (d) and (e) by ... [three years from the date of entry into force of this Regulation]. Those implementing acts shall be adopted in accordance with the examination procedure referred to in Article 29.</w:t>
            </w: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r>
      <w:tr>
        <w:tc>
          <w:tcPr>
            <w:tcW w:type="dxa" w:w="15132"/>
            <w:gridSpan w:val="13"/>
            <w:shd w:val="clear" w:color="auto" w:fill="D9E8F5"/>
            <w:vAlign w:val="center"/>
            <w:tcMar>
              <w:top w:w="50" w:type="dxa"/>
              <w:bottom w:w="50" w:type="dxa"/>
              <w:left w:w="100" w:type="dxa"/>
              <w:right w:w="80" w:type="dxa"/>
            </w:tcMar>
          </w:tcPr>
          <w:p>
            <w:pPr>
              <w:spacing w:before="0" w:after="0"/>
            </w:pPr>
            <w:r>
              <w:rPr>
                <w:b/>
                <w:i/>
                <w:color w:val="1F4E79"/>
                <w:sz w:val="17"/>
              </w:rPr>
              <w:t>Grupo 4 — Detenção Responsável e Formação</w:t>
            </w:r>
          </w:p>
        </w:tc>
      </w:tr>
      <w:tr>
        <w:tc>
          <w:tcPr>
            <w:shd w:val="clear" w:color="auto" w:fill="EBF3FB"/>
            <w:tcW w:w="7937" w:type="dxa"/>
            <w:vAlign w:val="top"/>
            <w:tcMar>
              <w:top w:w="50" w:type="dxa"/>
              <w:bottom w:w="50" w:type="dxa"/>
              <w:left w:w="80" w:type="dxa"/>
              <w:right w:w="60" w:type="dxa"/>
            </w:tcMar>
          </w:tcPr>
          <w:p>
            <w:pPr>
              <w:spacing w:before="0" w:after="40"/>
            </w:pPr>
            <w:r>
              <w:rPr>
                <w:b/>
                <w:color w:val="1F4E79"/>
                <w:sz w:val="16"/>
              </w:rPr>
              <w:t>Art. 15</w:t>
              <w:br/>
            </w:r>
            <w:r>
              <w:rPr>
                <w:i/>
                <w:color w:val="808080"/>
                <w:sz w:val="13"/>
              </w:rPr>
              <w:t>[via Art. 33, ponto (iv)]</w:t>
            </w:r>
          </w:p>
          <w:p>
            <w:pPr>
              <w:spacing w:before="0" w:after="0"/>
            </w:pPr>
            <w:r>
              <w:rPr>
                <w:color w:val="303030"/>
                <w:sz w:val="14"/>
              </w:rPr>
              <w:t>1. The operators of breeding and selling establishments shall ensure that dogs and cats are housed in accordance with point 2 of Annex I. The operators of shelters shall ensure that dogs and cats are housed in accordance with point 2.2 of Annex I.</w:t>
            </w:r>
          </w:p>
          <w:p>
            <w:pPr>
              <w:spacing w:before="0" w:after="0"/>
            </w:pPr>
            <w:r>
              <w:rPr>
                <w:color w:val="303030"/>
                <w:sz w:val="14"/>
              </w:rPr>
              <w:t>2. Operators shall ensure that:</w:t>
            </w:r>
          </w:p>
          <w:p>
            <w:pPr>
              <w:spacing w:before="0" w:after="0"/>
            </w:pPr>
            <w:r>
              <w:rPr>
                <w:color w:val="303030"/>
                <w:sz w:val="14"/>
              </w:rPr>
              <w:t>(a) the establishments where dogs or cats are kept and the equipment used therein are suitable for the types and the number of dogs or cats, and make possible the necessary access to, and the thorough inspection of, all dogs or cats;</w:t>
            </w:r>
          </w:p>
          <w:p>
            <w:pPr>
              <w:spacing w:before="0" w:after="0"/>
            </w:pPr>
            <w:r>
              <w:rPr>
                <w:color w:val="303030"/>
                <w:sz w:val="14"/>
              </w:rPr>
              <w:t>(b) all building components of the establishment, including the flooring and roof, and space divisions, as well as the equipment used for dogs or cats, are constructed and maintained properly, to ensure that they do not pose any risks to the welfare of the dogs or cats;</w:t>
            </w:r>
          </w:p>
          <w:p>
            <w:pPr>
              <w:spacing w:before="0" w:after="0"/>
            </w:pPr>
            <w:r>
              <w:rPr>
                <w:color w:val="303030"/>
                <w:sz w:val="14"/>
              </w:rPr>
              <w:t>(c) all building components of the establishment, including the flooring, and space divisions, as well as the equipment used for dogs or cats, are kept clean to ensure that they do not pose any risks to the welfare of the dogs or cats;</w:t>
            </w:r>
          </w:p>
          <w:p>
            <w:pPr>
              <w:spacing w:before="0" w:after="0"/>
            </w:pPr>
            <w:r>
              <w:rPr>
                <w:color w:val="303030"/>
                <w:sz w:val="14"/>
              </w:rPr>
              <w:t>(d) in breeding and selling establishments where dogs or cats are kept indoors, the dust levels, the temperature, and the relative air humidity and gas concentrations are not harmful to dogs or cats and that ventilation is sufficient to avoid overheating;</w:t>
            </w:r>
          </w:p>
          <w:p>
            <w:pPr>
              <w:spacing w:before="0" w:after="0"/>
            </w:pPr>
            <w:r>
              <w:rPr>
                <w:color w:val="303030"/>
                <w:sz w:val="14"/>
              </w:rPr>
              <w:t>(e) dogs or cats have enough space to be able to move around freely and to express species-specific behaviour according to their needs with the possibility to withdraw and rest;</w:t>
            </w:r>
          </w:p>
          <w:p>
            <w:pPr>
              <w:spacing w:before="0" w:after="0"/>
            </w:pPr>
            <w:r>
              <w:rPr>
                <w:color w:val="303030"/>
                <w:sz w:val="14"/>
              </w:rPr>
              <w:t>(f) dogs or cats have clean, comfortable and dry resting places that are sufficiently large and numerous to ensure that all of them can lie down and rest in a natural position at the same time;</w:t>
            </w:r>
          </w:p>
          <w:p>
            <w:pPr>
              <w:spacing w:before="0" w:after="0"/>
            </w:pPr>
            <w:r>
              <w:rPr>
                <w:color w:val="303030"/>
                <w:sz w:val="14"/>
              </w:rPr>
              <w:t>(g) appropriate structures and measures are in place for dogs or cats that are kept outdoors in order to protect them from adverse weather conditions, including to prevent thermal stress, sunburn and frostbite.</w:t>
            </w:r>
          </w:p>
          <w:p>
            <w:pPr>
              <w:spacing w:before="0" w:after="0"/>
            </w:pPr>
            <w:r>
              <w:rPr>
                <w:color w:val="303030"/>
                <w:sz w:val="14"/>
              </w:rPr>
              <w:t>3. Operators shall not keep dogs or cats in containers. However, containers may be used for transportation, for the short term isolation of individual dogs or cats and for participation in shows, exhibitions and competitions, for puppies or kittens with reduced thermoregulation capacity or for puppies or kittens together with their mothers, provided that, for the dogs or cats concerned, stress is minimised and suffering is avoided, and they are able to stand, turn around and lie down in a natural position.</w:t>
            </w:r>
          </w:p>
          <w:p>
            <w:pPr>
              <w:spacing w:before="0" w:after="0"/>
            </w:pPr>
            <w:r>
              <w:rPr>
                <w:color w:val="303030"/>
                <w:sz w:val="14"/>
              </w:rPr>
              <w:t>4. Operators shall not keep dogs older than 8 weeks exclusively indoors. Such dogs shall have daily access to an outdoor area, or be walked daily, to allow exercise, exploration and socialisation. The minimum combined duration of such daily access or walk shall be one hour in total. The operator may only deviate from these requirements based on the written advice of a veterinarian.</w:t>
            </w:r>
          </w:p>
          <w:p>
            <w:pPr>
              <w:spacing w:before="0" w:after="0"/>
            </w:pPr>
            <w:r>
              <w:rPr>
                <w:color w:val="303030"/>
                <w:sz w:val="14"/>
              </w:rPr>
              <w:t>5. When cats are kept in catteries, operators shall design and construct individual enclosures to allow cats to move around freely and to exhibit their natural behaviour.</w:t>
            </w:r>
          </w:p>
          <w:p>
            <w:pPr>
              <w:spacing w:before="0" w:after="0"/>
            </w:pPr>
            <w:r>
              <w:rPr>
                <w:color w:val="303030"/>
                <w:sz w:val="14"/>
              </w:rPr>
              <w:t>6. Operators of breeding and selling establishments shall ensure that in indoor areas where dogs and cats are kept, an appropriate thermoneutral zone is maintained that takes into account their coat type, age, size, breed, and health.</w:t>
            </w:r>
          </w:p>
          <w:p>
            <w:pPr>
              <w:spacing w:before="0" w:after="0"/>
            </w:pPr>
            <w:r>
              <w:rPr>
                <w:color w:val="303030"/>
                <w:sz w:val="14"/>
              </w:rPr>
              <w:t>7. Operators of breeding and selling establishments shall, where necessary, use heating or cooling systems in the indoor enclosures at their establishments to maintain good air quality and an appropriate temperature and to remove excessive moisture.</w:t>
            </w:r>
          </w:p>
          <w:p>
            <w:pPr>
              <w:spacing w:before="0" w:after="0"/>
            </w:pPr>
            <w:r>
              <w:rPr>
                <w:color w:val="303030"/>
                <w:sz w:val="14"/>
              </w:rPr>
              <w:t>8. Operators shall ensure that dogs or cats are exposed to light, and are able to stay in the dark for sufficient and uninterrupted periods in order to maintain a normal circadian rhythm.</w:t>
            </w:r>
          </w:p>
          <w:p>
            <w:pPr>
              <w:spacing w:before="50" w:after="20"/>
            </w:pPr>
            <w:r>
              <w:rPr>
                <w:b/>
                <w:color w:val="1F4E79"/>
                <w:sz w:val="13"/>
              </w:rPr>
              <w:t>▸ Prazo [Art. 33, ponto (iv)]:</w:t>
            </w:r>
          </w:p>
          <w:p>
            <w:pPr>
              <w:spacing w:before="0" w:after="0"/>
            </w:pPr>
            <w:r>
              <w:rPr>
                <w:i/>
                <w:color w:val="1F4E79"/>
                <w:sz w:val="14"/>
              </w:rPr>
              <w:t>Article 15 … shall apply from … [five years from the date of entry into force of this Regulation].</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r>
      <w:tr>
        <w:tc>
          <w:tcPr>
            <w:shd w:val="clear" w:color="auto" w:fill="FFFFFF"/>
            <w:tcW w:w="7937" w:type="dxa"/>
            <w:vAlign w:val="top"/>
            <w:tcMar>
              <w:top w:w="50" w:type="dxa"/>
              <w:bottom w:w="50" w:type="dxa"/>
              <w:left w:w="80" w:type="dxa"/>
              <w:right w:w="60" w:type="dxa"/>
            </w:tcMar>
          </w:tcPr>
          <w:p>
            <w:pPr>
              <w:spacing w:before="0" w:after="40"/>
            </w:pPr>
            <w:r>
              <w:rPr>
                <w:b/>
                <w:color w:val="1F4E79"/>
                <w:sz w:val="16"/>
              </w:rPr>
              <w:t>Art. 21(3) 2.º § +</w:t>
              <w:br/>
              <w:br/>
            </w:r>
            <w:r>
              <w:rPr>
                <w:i/>
                <w:color w:val="808080"/>
                <w:sz w:val="13"/>
              </w:rPr>
              <w:t>Art. 21(4)(5)</w:t>
            </w:r>
            <w:r>
              <w:rPr>
                <w:i/>
                <w:color w:val="808080"/>
                <w:sz w:val="13"/>
              </w:rPr>
              <w:t>[via Art. 33, ponto (iv)]</w:t>
            </w:r>
          </w:p>
          <w:p>
            <w:pPr>
              <w:spacing w:before="0" w:after="0"/>
            </w:pPr>
            <w:r>
              <w:rPr>
                <w:color w:val="303030"/>
                <w:sz w:val="14"/>
              </w:rPr>
              <w:t>Art. 21(3), 2.º §: Where a natural or legal person advertises a dog or cat online with a view to placing it on the Union market, that person shall use the system referred to in paragraph 5 to generate a unique verification token. That person shall include that token in the advertisement, along with a weblink to the system referred to in paragraph 5. The system referred to in paragraph 5 shall enable acquirers to verify the authenticity of the identification, registration and ownership of dogs or cats advertised online.</w:t>
            </w:r>
          </w:p>
          <w:p>
            <w:pPr>
              <w:spacing w:before="0" w:after="0"/>
            </w:pPr>
            <w:r>
              <w:rPr>
                <w:color w:val="303030"/>
                <w:sz w:val="14"/>
              </w:rPr>
              <w:t>Art. 21(4): Providers of online platforms shall ensure that their online interface is designed and organised in such a way that makes it easier for operators or other natural or legal persons who are placing dogs or cats on the market to comply with their obligations under paragraphs 1 to 3 of this Article, and in line with Article 31 of Regulation (EU) 2022/2065, and shall inform acquirers, in a visible manner, of the possibility to verify the authenticity of the identification, registration and ownership of the dog or cat on the online verification system referred to in paragraph 5 accessed via a weblink.</w:t>
            </w:r>
          </w:p>
          <w:p>
            <w:pPr>
              <w:spacing w:before="0" w:after="0"/>
            </w:pPr>
            <w:r>
              <w:rPr>
                <w:color w:val="303030"/>
                <w:sz w:val="14"/>
              </w:rPr>
              <w:t>Art. 21(5): The Commission shall ensure that a verification system for performing automated checks of the authenticity of the identification, registration and ownership of dogs or cats advertised online, using the database referred to in Article 23, is publicly available online, free of charge and generates the unique verification token referred to in paragraph 3(2) of this Article.</w:t>
            </w:r>
          </w:p>
          <w:p>
            <w:pPr>
              <w:spacing w:before="50" w:after="20"/>
            </w:pPr>
            <w:r>
              <w:rPr>
                <w:b/>
                <w:color w:val="1F4E79"/>
                <w:sz w:val="13"/>
              </w:rPr>
              <w:t>▸ Prazo [Art. 33, ponto (iv)]:</w:t>
            </w:r>
          </w:p>
          <w:p>
            <w:pPr>
              <w:spacing w:before="0" w:after="0"/>
            </w:pPr>
            <w:r>
              <w:rPr>
                <w:i/>
                <w:color w:val="1F4E79"/>
                <w:sz w:val="14"/>
              </w:rPr>
              <w:t>Article 21(3), second subparagraph, (4) and (5) … shall apply from … [five years from the date of entry into force of this Regulation].</w:t>
            </w: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r>
      <w:tr>
        <w:tc>
          <w:tcPr>
            <w:shd w:val="clear" w:color="auto" w:fill="EBF3FB"/>
            <w:tcW w:w="7937" w:type="dxa"/>
            <w:vAlign w:val="top"/>
            <w:tcMar>
              <w:top w:w="50" w:type="dxa"/>
              <w:bottom w:w="50" w:type="dxa"/>
              <w:left w:w="80" w:type="dxa"/>
              <w:right w:w="60" w:type="dxa"/>
            </w:tcMar>
          </w:tcPr>
          <w:p>
            <w:pPr>
              <w:spacing w:before="0" w:after="40"/>
            </w:pPr>
            <w:r>
              <w:rPr>
                <w:b/>
                <w:color w:val="1F4E79"/>
                <w:sz w:val="16"/>
              </w:rPr>
              <w:t>Art. 22(1)(a)(b)(c)</w:t>
              <w:br/>
            </w:r>
            <w:r>
              <w:rPr>
                <w:i/>
                <w:color w:val="808080"/>
                <w:sz w:val="13"/>
              </w:rPr>
              <w:t>[via Art. 33, ponto (iv)]</w:t>
            </w:r>
          </w:p>
          <w:p>
            <w:pPr>
              <w:spacing w:before="0" w:after="0"/>
            </w:pPr>
            <w:r>
              <w:rPr>
                <w:color w:val="303030"/>
                <w:sz w:val="14"/>
              </w:rPr>
              <w:t>1. For the purposes of Article 12, the competent authorities shall be responsible for:</w:t>
            </w:r>
          </w:p>
          <w:p>
            <w:pPr>
              <w:spacing w:before="0" w:after="0"/>
            </w:pPr>
            <w:r>
              <w:rPr>
                <w:color w:val="303030"/>
                <w:sz w:val="14"/>
              </w:rPr>
              <w:t>(a) ensuring that training courses are available for animal carers;</w:t>
            </w:r>
          </w:p>
          <w:p>
            <w:pPr>
              <w:spacing w:before="0" w:after="0"/>
            </w:pPr>
            <w:r>
              <w:rPr>
                <w:color w:val="303030"/>
                <w:sz w:val="14"/>
              </w:rPr>
              <w:t>(b) approving the content of the training courses referred to in point (a), in accordance with the minimum requirements laid down by the implementing acts referred to in Article 12(4);</w:t>
            </w:r>
          </w:p>
          <w:p>
            <w:pPr>
              <w:spacing w:before="0" w:after="0"/>
            </w:pPr>
            <w:r>
              <w:rPr>
                <w:color w:val="303030"/>
                <w:sz w:val="14"/>
              </w:rPr>
              <w:t>(c) certifying animal carers who have successfully completed the training courses referred to in point (a).</w:t>
            </w:r>
          </w:p>
          <w:p>
            <w:pPr>
              <w:spacing w:before="0" w:after="0"/>
            </w:pPr>
            <w:r>
              <w:rPr>
                <w:color w:val="303030"/>
                <w:sz w:val="14"/>
              </w:rPr>
              <w:t>The competent authorities may delegate the task referred to in point (c) to providers of training courses.</w:t>
            </w:r>
          </w:p>
          <w:p>
            <w:pPr>
              <w:spacing w:before="50" w:after="20"/>
            </w:pPr>
            <w:r>
              <w:rPr>
                <w:b/>
                <w:color w:val="1F4E79"/>
                <w:sz w:val="13"/>
              </w:rPr>
              <w:t>▸ Prazo [Art. 33, ponto (iv)]:</w:t>
            </w:r>
          </w:p>
          <w:p>
            <w:pPr>
              <w:spacing w:before="0" w:after="0"/>
            </w:pPr>
            <w:r>
              <w:rPr>
                <w:i/>
                <w:color w:val="1F4E79"/>
                <w:sz w:val="14"/>
              </w:rPr>
              <w:t>Article 22(1), points (a), (b) and (c) … shall apply from … [five years from the date of entry into force of this Regulation].</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r>
      <w:tr>
        <w:tc>
          <w:tcPr>
            <w:shd w:val="clear" w:color="auto" w:fill="FFFFFF"/>
            <w:tcW w:w="7937" w:type="dxa"/>
            <w:vAlign w:val="top"/>
            <w:tcMar>
              <w:top w:w="50" w:type="dxa"/>
              <w:bottom w:w="50" w:type="dxa"/>
              <w:left w:w="80" w:type="dxa"/>
              <w:right w:w="60" w:type="dxa"/>
            </w:tcMar>
          </w:tcPr>
          <w:p>
            <w:pPr>
              <w:spacing w:before="0" w:after="40"/>
            </w:pPr>
            <w:r>
              <w:rPr>
                <w:b/>
                <w:color w:val="1F4E79"/>
                <w:sz w:val="16"/>
              </w:rPr>
              <w:t>Art. 23(3)(4)</w:t>
              <w:br/>
            </w:r>
            <w:r>
              <w:rPr>
                <w:i/>
                <w:color w:val="808080"/>
                <w:sz w:val="13"/>
              </w:rPr>
              <w:t>[via Art. 33, ponto (iv)]</w:t>
            </w:r>
          </w:p>
          <w:p>
            <w:pPr>
              <w:spacing w:before="0" w:after="0"/>
            </w:pPr>
            <w:r>
              <w:rPr>
                <w:color w:val="303030"/>
                <w:sz w:val="14"/>
              </w:rPr>
              <w:t>3. Member States shall ensure that their databases, as referred to in paragraph 1, comply with the requirements laid down by the implementing act referred to in paragraph 4, second subparagraph, point (b), to ensure their interoperability.</w:t>
            </w:r>
          </w:p>
          <w:p>
            <w:pPr>
              <w:spacing w:before="0" w:after="0"/>
            </w:pPr>
            <w:r>
              <w:rPr>
                <w:color w:val="303030"/>
                <w:sz w:val="14"/>
              </w:rPr>
              <w:t>4. The Commission shall establish and maintain an index database containing the minimum set of fields laid down in the implementing acts referred to in subparagraph 2, point (b). The Commission may entrust the development, maintenance and operation of that index database to an independent entity, following a public selection process pursuant to the relevant provisions of Title VII of the Regulation (EU, Euratom) 2024/2509.</w:t>
            </w:r>
          </w:p>
          <w:p>
            <w:pPr>
              <w:spacing w:before="50" w:after="20"/>
            </w:pPr>
            <w:r>
              <w:rPr>
                <w:b/>
                <w:color w:val="1F4E79"/>
                <w:sz w:val="13"/>
              </w:rPr>
              <w:t>▸ Prazo [Art. 33, ponto (iv)]:</w:t>
            </w:r>
          </w:p>
          <w:p>
            <w:pPr>
              <w:spacing w:before="0" w:after="0"/>
            </w:pPr>
            <w:r>
              <w:rPr>
                <w:i/>
                <w:color w:val="1F4E79"/>
                <w:sz w:val="14"/>
              </w:rPr>
              <w:t>Article 23(3) and (4) … shall apply from … [five years from the date of entry into force of this Regulation].</w:t>
            </w: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r>
      <w:tr>
        <w:tc>
          <w:tcPr>
            <w:tcW w:type="dxa" w:w="15132"/>
            <w:gridSpan w:val="13"/>
            <w:shd w:val="clear" w:color="auto" w:fill="D9E8F5"/>
            <w:vAlign w:val="center"/>
            <w:tcMar>
              <w:top w:w="50" w:type="dxa"/>
              <w:bottom w:w="50" w:type="dxa"/>
              <w:left w:w="100" w:type="dxa"/>
              <w:right w:w="80" w:type="dxa"/>
            </w:tcMar>
          </w:tcPr>
          <w:p>
            <w:pPr>
              <w:spacing w:before="0" w:after="0"/>
            </w:pPr>
            <w:r>
              <w:rPr>
                <w:b/>
                <w:i/>
                <w:color w:val="1F4E79"/>
                <w:sz w:val="17"/>
              </w:rPr>
              <w:t>Grupo 5 — Importação e Movimento</w:t>
            </w:r>
          </w:p>
        </w:tc>
      </w:tr>
      <w:tr>
        <w:tc>
          <w:tcPr>
            <w:shd w:val="clear" w:color="auto" w:fill="EBF3FB"/>
            <w:tcW w:w="7937" w:type="dxa"/>
            <w:vAlign w:val="top"/>
            <w:tcMar>
              <w:top w:w="50" w:type="dxa"/>
              <w:bottom w:w="50" w:type="dxa"/>
              <w:left w:w="80" w:type="dxa"/>
              <w:right w:w="60" w:type="dxa"/>
            </w:tcMar>
          </w:tcPr>
          <w:p>
            <w:pPr>
              <w:spacing w:before="0" w:after="40"/>
            </w:pPr>
            <w:r>
              <w:rPr>
                <w:b/>
                <w:color w:val="1F4E79"/>
                <w:sz w:val="16"/>
              </w:rPr>
              <w:t>Art. 10</w:t>
              <w:br/>
            </w:r>
            <w:r>
              <w:rPr>
                <w:i/>
                <w:color w:val="808080"/>
                <w:sz w:val="13"/>
              </w:rPr>
              <w:t>[via Art. 33, ponto (vi)]</w:t>
            </w:r>
          </w:p>
          <w:p>
            <w:pPr>
              <w:spacing w:before="0" w:after="0"/>
            </w:pPr>
            <w:r>
              <w:rPr>
                <w:color w:val="303030"/>
                <w:sz w:val="14"/>
              </w:rPr>
              <w:t>1. Operators of breeding establishments that either produce or intend to produce more than five litters per calendar year or that keep more than a combined total of five bitches or queens at any given time shall place dogs or cats on the market only after their establishment has been approved by the competent authority.</w:t>
            </w:r>
          </w:p>
          <w:p>
            <w:pPr>
              <w:spacing w:before="0" w:after="0"/>
            </w:pPr>
            <w:r>
              <w:rPr>
                <w:color w:val="303030"/>
                <w:sz w:val="14"/>
              </w:rPr>
              <w:t>2. The competent authority shall perform on-site inspections to verify that the establishment meets the requirements of this Regulation. Member States may allow such inspections to be carried out remotely, provided that the means of distance communication used provides sufficient evidence for the competent authority to perform reliable inspections. The competent authority shall grant certificates of approval only to breeding establishments that meet the requirements of this Regulation.</w:t>
            </w:r>
          </w:p>
          <w:p>
            <w:pPr>
              <w:spacing w:before="0" w:after="0"/>
            </w:pPr>
            <w:r>
              <w:rPr>
                <w:color w:val="303030"/>
                <w:sz w:val="14"/>
              </w:rPr>
              <w:t>3. The competent authority shall maintain a publicly available list including the following information for each approved establishment:</w:t>
            </w:r>
          </w:p>
          <w:p>
            <w:pPr>
              <w:spacing w:before="0" w:after="0"/>
            </w:pPr>
            <w:r>
              <w:rPr>
                <w:color w:val="303030"/>
                <w:sz w:val="14"/>
              </w:rPr>
              <w:t>(a) the name, contact details and, where available, the URL of the website of the establishment;</w:t>
            </w:r>
          </w:p>
          <w:p>
            <w:pPr>
              <w:spacing w:before="0" w:after="0"/>
            </w:pPr>
            <w:r>
              <w:rPr>
                <w:color w:val="303030"/>
                <w:sz w:val="14"/>
              </w:rPr>
              <w:t>(b) the address of the establishment;</w:t>
            </w:r>
          </w:p>
          <w:p>
            <w:pPr>
              <w:spacing w:before="0" w:after="0"/>
            </w:pPr>
            <w:r>
              <w:rPr>
                <w:color w:val="303030"/>
                <w:sz w:val="14"/>
              </w:rPr>
              <w:t>(c) the name of the operator;</w:t>
            </w:r>
          </w:p>
          <w:p>
            <w:pPr>
              <w:spacing w:before="0" w:after="0"/>
            </w:pPr>
            <w:r>
              <w:rPr>
                <w:color w:val="303030"/>
                <w:sz w:val="14"/>
              </w:rPr>
              <w:t>(d) the species and, if relevant, the breeds related to the establishment activities approved;</w:t>
            </w:r>
          </w:p>
          <w:p>
            <w:pPr>
              <w:spacing w:before="0" w:after="0"/>
            </w:pPr>
            <w:r>
              <w:rPr>
                <w:color w:val="303030"/>
                <w:sz w:val="14"/>
              </w:rPr>
              <w:t>(e) the unique approval number assigned to the establishment by the competent authority and the date of the approval and cessation of activities.</w:t>
            </w:r>
          </w:p>
          <w:p>
            <w:pPr>
              <w:spacing w:before="50" w:after="20"/>
            </w:pPr>
            <w:r>
              <w:rPr>
                <w:b/>
                <w:color w:val="1F4E79"/>
                <w:sz w:val="13"/>
              </w:rPr>
              <w:t>▸ Prazo [Art. 33, ponto (vi)]:</w:t>
            </w:r>
          </w:p>
          <w:p>
            <w:pPr>
              <w:spacing w:before="0" w:after="0"/>
            </w:pPr>
            <w:r>
              <w:rPr>
                <w:i/>
                <w:color w:val="1F4E79"/>
                <w:sz w:val="14"/>
              </w:rPr>
              <w:t>Article 10 shall apply from … [eight years from the date of entry into force of this Regulation].</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r>
      <w:tr>
        <w:tc>
          <w:tcPr>
            <w:shd w:val="clear" w:color="auto" w:fill="FFFFFF"/>
            <w:tcW w:w="7937" w:type="dxa"/>
            <w:vAlign w:val="top"/>
            <w:tcMar>
              <w:top w:w="50" w:type="dxa"/>
              <w:bottom w:w="50" w:type="dxa"/>
              <w:left w:w="80" w:type="dxa"/>
              <w:right w:w="60" w:type="dxa"/>
            </w:tcMar>
          </w:tcPr>
          <w:p>
            <w:pPr>
              <w:spacing w:before="0" w:after="40"/>
            </w:pPr>
            <w:r>
              <w:rPr>
                <w:b/>
                <w:color w:val="1F4E79"/>
                <w:sz w:val="16"/>
              </w:rPr>
              <w:t>Art. 26(1)(2)(3)</w:t>
              <w:br/>
            </w:r>
            <w:r>
              <w:rPr>
                <w:i/>
                <w:color w:val="808080"/>
                <w:sz w:val="13"/>
              </w:rPr>
              <w:t>[via Art. 33, ponto (iv)]</w:t>
            </w:r>
          </w:p>
          <w:p>
            <w:pPr>
              <w:spacing w:before="0" w:after="0"/>
            </w:pPr>
            <w:r>
              <w:rPr>
                <w:color w:val="303030"/>
                <w:sz w:val="14"/>
              </w:rPr>
              <w:t>1. Dogs and cats may be brought into the Union for the purpose of being placed on the Union market only if the following conditions are met:</w:t>
            </w:r>
          </w:p>
          <w:p>
            <w:pPr>
              <w:spacing w:before="0" w:after="0"/>
            </w:pPr>
            <w:r>
              <w:rPr>
                <w:color w:val="303030"/>
                <w:sz w:val="14"/>
              </w:rPr>
              <w:t>(a) they have been bred and kept in compliance with any of the following requirements:</w:t>
            </w:r>
          </w:p>
          <w:p>
            <w:pPr>
              <w:spacing w:before="0" w:after="0"/>
            </w:pPr>
            <w:r>
              <w:rPr>
                <w:color w:val="303030"/>
                <w:sz w:val="14"/>
              </w:rPr>
              <w:t>(i) the requirements contained in Chapter II of this Regulation;</w:t>
            </w:r>
          </w:p>
          <w:p>
            <w:pPr>
              <w:spacing w:before="0" w:after="0"/>
            </w:pPr>
            <w:r>
              <w:rPr>
                <w:color w:val="303030"/>
                <w:sz w:val="14"/>
              </w:rPr>
              <w:t>(ii) requirements recognised by the Union, in accordance with Article 129 of Regulation (EU) 2017/625, as being equivalent to those set out by Chapter II of this Regulation; or</w:t>
            </w:r>
          </w:p>
          <w:p>
            <w:pPr>
              <w:spacing w:before="0" w:after="0"/>
            </w:pPr>
            <w:r>
              <w:rPr>
                <w:color w:val="303030"/>
                <w:sz w:val="14"/>
              </w:rPr>
              <w:t>(iii) where applicable, requirements contained in a specific agreement between the Union and the exporting country.</w:t>
            </w:r>
          </w:p>
          <w:p>
            <w:pPr>
              <w:spacing w:before="0" w:after="0"/>
            </w:pPr>
            <w:r>
              <w:rPr>
                <w:color w:val="303030"/>
                <w:sz w:val="14"/>
              </w:rPr>
              <w:t>(b) they come from a third country or territory and from an establishment listed in accordance with Articles 126 and 127 of Regulation (EU) 2017/625.</w:t>
            </w:r>
          </w:p>
          <w:p>
            <w:pPr>
              <w:spacing w:before="0" w:after="0"/>
            </w:pPr>
            <w:r>
              <w:rPr>
                <w:color w:val="303030"/>
                <w:sz w:val="14"/>
              </w:rPr>
              <w:t>2. The official certificate referred to in Article 126(2), point (c), of Regulation (EU) 2017/625 accompanying dogs and cats brought into the Union from third countries and territories for the purpose of being placed on the Union market, shall contain an attestation certifying compliance with paragraph 1 of this Article.</w:t>
            </w:r>
          </w:p>
          <w:p>
            <w:pPr>
              <w:spacing w:before="0" w:after="0"/>
            </w:pPr>
            <w:r>
              <w:rPr>
                <w:color w:val="303030"/>
                <w:sz w:val="14"/>
              </w:rPr>
              <w:t>3. Dogs and cats brought into the Union for the purpose of being placed on the Union market shall be identified before their entry into the Union by a veterinarian by means of an injectable transponder containing a readable microchip that complies with the requirements set out in Annex II.</w:t>
            </w:r>
          </w:p>
          <w:p>
            <w:pPr>
              <w:spacing w:before="0" w:after="0"/>
            </w:pPr>
            <w:r>
              <w:rPr>
                <w:color w:val="303030"/>
                <w:sz w:val="14"/>
              </w:rPr>
              <w:t>The operator responsible for the import of the dogs or cats into the Union shall ensure that they are registered in a national database referred to in Article 23(1), by a veterinarian, within five working days after they were brought into the Union.</w:t>
            </w:r>
          </w:p>
          <w:p>
            <w:pPr>
              <w:spacing w:before="50" w:after="20"/>
            </w:pPr>
            <w:r>
              <w:rPr>
                <w:b/>
                <w:color w:val="1F4E79"/>
                <w:sz w:val="13"/>
              </w:rPr>
              <w:t>▸ Prazo [Art. 33, ponto (iv)]:</w:t>
            </w:r>
          </w:p>
          <w:p>
            <w:pPr>
              <w:spacing w:before="0" w:after="0"/>
            </w:pPr>
            <w:r>
              <w:rPr>
                <w:i/>
                <w:color w:val="1F4E79"/>
                <w:sz w:val="14"/>
              </w:rPr>
              <w:t>Article 26(1), (2) and (3) shall apply from … [five years from the date of entry into force of this Regulation].</w:t>
            </w: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r>
      <w:tr>
        <w:tc>
          <w:tcPr>
            <w:shd w:val="clear" w:color="auto" w:fill="EBF3FB"/>
            <w:tcW w:w="7937" w:type="dxa"/>
            <w:vAlign w:val="top"/>
            <w:tcMar>
              <w:top w:w="50" w:type="dxa"/>
              <w:bottom w:w="50" w:type="dxa"/>
              <w:left w:w="80" w:type="dxa"/>
              <w:right w:w="60" w:type="dxa"/>
            </w:tcMar>
          </w:tcPr>
          <w:p>
            <w:pPr>
              <w:spacing w:before="0" w:after="40"/>
            </w:pPr>
            <w:r>
              <w:rPr>
                <w:b/>
                <w:color w:val="1F4E79"/>
                <w:sz w:val="16"/>
              </w:rPr>
              <w:t>Art. 26(4), §§ 1-4</w:t>
              <w:br/>
            </w:r>
            <w:r>
              <w:rPr>
                <w:i/>
                <w:color w:val="808080"/>
                <w:sz w:val="13"/>
              </w:rPr>
              <w:t>[via Art. 33, ponto (vii)]</w:t>
            </w:r>
          </w:p>
          <w:p>
            <w:pPr>
              <w:spacing w:before="0" w:after="0"/>
            </w:pPr>
            <w:r>
              <w:rPr>
                <w:color w:val="303030"/>
                <w:sz w:val="14"/>
              </w:rPr>
              <w:t>4. The non-commercial movement of a dog or cat from a third country or territory to the Union shall be prenotified by its owner to an online Union pet travellers' database at least five working days before the dog or cat crosses the Union border, except in the following cases:</w:t>
            </w:r>
          </w:p>
          <w:p>
            <w:pPr>
              <w:spacing w:before="0" w:after="0"/>
            </w:pPr>
            <w:r>
              <w:rPr>
                <w:color w:val="303030"/>
                <w:sz w:val="14"/>
              </w:rPr>
              <w:t>(a) where the dog or cat is brought into the Union directly from third countries or from territories fulfilling the conditions set out in Article 17(1), point (a), of Commission Delegated Regulation (EU) …/…, and</w:t>
            </w:r>
          </w:p>
          <w:p>
            <w:pPr>
              <w:spacing w:before="0" w:after="0"/>
            </w:pPr>
            <w:r>
              <w:rPr>
                <w:color w:val="303030"/>
                <w:sz w:val="14"/>
              </w:rPr>
              <w:t>(b) where the dog or cat is registered in a Member State database referred to in Article 23(1) of this Regulation.</w:t>
            </w:r>
          </w:p>
          <w:p>
            <w:pPr>
              <w:spacing w:before="0" w:after="0"/>
            </w:pPr>
            <w:r>
              <w:rPr>
                <w:color w:val="303030"/>
                <w:sz w:val="14"/>
              </w:rPr>
              <w:t>Where the dog or cat stays more than six months in the Union, the owner shall ensure that it is registered in the database of the Member State of residence referred to in Article 23(1), by a veterinarian, within five working days after the expiry of the sixth month since it entered the Union.</w:t>
            </w:r>
          </w:p>
          <w:p>
            <w:pPr>
              <w:spacing w:before="0" w:after="0"/>
            </w:pPr>
            <w:r>
              <w:rPr>
                <w:color w:val="303030"/>
                <w:sz w:val="14"/>
              </w:rPr>
              <w:t>The Commission shall establish and maintain the Union pet travellers' database referred to in the first subparagraph. The Commission may entrust the development, maintenance and operation of that database to an independent entity, following a public selection process pursuant to the relevant provisions of Title VII of the Regulation (EU, Euratom) 2024/2509. Access to that database shall be restricted to Member States' competent authorities and to the Commission.</w:t>
            </w:r>
          </w:p>
          <w:p>
            <w:pPr>
              <w:spacing w:before="0" w:after="0"/>
            </w:pPr>
            <w:r>
              <w:rPr>
                <w:color w:val="303030"/>
                <w:sz w:val="14"/>
              </w:rPr>
              <w:t>The Commission shall ensure that the database triggers iRASFF notifications for pre-notified movements that present a risk of fraud. The Member State receiving the notification shall take appropriate measures to follow it up in accordance with Article 105(2) of Regulation (EU) 2017/625.</w:t>
            </w:r>
          </w:p>
          <w:p>
            <w:pPr>
              <w:spacing w:before="50" w:after="20"/>
            </w:pPr>
            <w:r>
              <w:rPr>
                <w:b/>
                <w:color w:val="1F4E79"/>
                <w:sz w:val="13"/>
              </w:rPr>
              <w:t>▸ Prazo [Art. 33, ponto (vii)]:</w:t>
            </w:r>
          </w:p>
          <w:p>
            <w:pPr>
              <w:spacing w:before="0" w:after="0"/>
            </w:pPr>
            <w:r>
              <w:rPr>
                <w:i/>
                <w:color w:val="1F4E79"/>
                <w:sz w:val="14"/>
              </w:rPr>
              <w:t>Article 26(4) shall apply from … [10 years from the entry into force of the Regulation].</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r>
      <w:tr>
        <w:tc>
          <w:tcPr>
            <w:shd w:val="clear" w:color="auto" w:fill="FFFFFF"/>
            <w:tcW w:w="7937" w:type="dxa"/>
            <w:vAlign w:val="top"/>
            <w:tcMar>
              <w:top w:w="50" w:type="dxa"/>
              <w:bottom w:w="50" w:type="dxa"/>
              <w:left w:w="80" w:type="dxa"/>
              <w:right w:w="60" w:type="dxa"/>
            </w:tcMar>
          </w:tcPr>
          <w:p>
            <w:pPr>
              <w:spacing w:before="0" w:after="40"/>
            </w:pPr>
            <w:r>
              <w:rPr>
                <w:b/>
                <w:color w:val="1F4E79"/>
                <w:sz w:val="16"/>
              </w:rPr>
              <w:t>Art. 26(4), 5.º §</w:t>
              <w:br/>
            </w:r>
            <w:r>
              <w:rPr>
                <w:i/>
                <w:color w:val="808080"/>
                <w:sz w:val="13"/>
              </w:rPr>
              <w:t>(atos de execução)</w:t>
            </w:r>
          </w:p>
          <w:p>
            <w:pPr>
              <w:spacing w:before="0" w:after="0"/>
            </w:pPr>
            <w:r>
              <w:rPr>
                <w:color w:val="303030"/>
                <w:sz w:val="14"/>
              </w:rPr>
              <w:t>The Commission shall by ... [8 years after the date of entry into force of this Regulation] adopt implementing acts laying down detailed arrangements for the following:</w:t>
            </w:r>
          </w:p>
          <w:p>
            <w:pPr>
              <w:spacing w:before="0" w:after="0"/>
            </w:pPr>
            <w:r>
              <w:rPr>
                <w:color w:val="303030"/>
                <w:sz w:val="14"/>
              </w:rPr>
              <w:t>(i) the information to be pre-notified by owners in accordance with paragraph (4) of this Article in the Union pet travellers' database, taking into account the personal data protection requirements of Regulation (EU) 2018/1725 and Regulation (EU) 2016/679;</w:t>
            </w:r>
          </w:p>
          <w:p>
            <w:pPr>
              <w:spacing w:before="0" w:after="0"/>
            </w:pPr>
            <w:r>
              <w:rPr>
                <w:color w:val="303030"/>
                <w:sz w:val="14"/>
              </w:rPr>
              <w:t>(ii) the procedure by which the risk of fraud is to be established, which is to take into account the activities carried out by the AAC network.</w:t>
            </w:r>
          </w:p>
          <w:p>
            <w:pPr>
              <w:spacing w:before="0" w:after="60"/>
            </w:pPr>
            <w:r>
              <w:rPr>
                <w:color w:val="303030"/>
                <w:sz w:val="14"/>
              </w:rPr>
              <w:t>Those implementing acts shall be adopted in accordance with the examination procedure referred to in Article 29.</w:t>
            </w: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r>
      <w:tr>
        <w:tc>
          <w:tcPr>
            <w:tcW w:type="dxa" w:w="15132"/>
            <w:gridSpan w:val="13"/>
            <w:shd w:val="clear" w:color="auto" w:fill="D9E8F5"/>
            <w:vAlign w:val="center"/>
            <w:tcMar>
              <w:top w:w="50" w:type="dxa"/>
              <w:bottom w:w="50" w:type="dxa"/>
              <w:left w:w="100" w:type="dxa"/>
              <w:right w:w="80" w:type="dxa"/>
            </w:tcMar>
          </w:tcPr>
          <w:p>
            <w:pPr>
              <w:spacing w:before="0" w:after="0"/>
            </w:pPr>
            <w:r>
              <w:rPr>
                <w:b/>
                <w:i/>
                <w:color w:val="1F4E79"/>
                <w:sz w:val="17"/>
              </w:rPr>
              <w:t>Grupo 6 — Relatórios e Avaliação</w:t>
            </w:r>
          </w:p>
        </w:tc>
      </w:tr>
      <w:tr>
        <w:tc>
          <w:tcPr>
            <w:shd w:val="clear" w:color="auto" w:fill="EBF3FB"/>
            <w:tcW w:w="7937" w:type="dxa"/>
            <w:vAlign w:val="top"/>
            <w:tcMar>
              <w:top w:w="50" w:type="dxa"/>
              <w:bottom w:w="50" w:type="dxa"/>
              <w:left w:w="80" w:type="dxa"/>
              <w:right w:w="60" w:type="dxa"/>
            </w:tcMar>
          </w:tcPr>
          <w:p>
            <w:pPr>
              <w:spacing w:before="0" w:after="40"/>
            </w:pPr>
            <w:r>
              <w:rPr>
                <w:b/>
                <w:color w:val="1F4E79"/>
                <w:sz w:val="16"/>
              </w:rPr>
              <w:t>Art. 24(2)</w:t>
            </w:r>
          </w:p>
          <w:p>
            <w:pPr>
              <w:spacing w:before="0" w:after="60"/>
            </w:pPr>
            <w:r>
              <w:rPr>
                <w:color w:val="303030"/>
                <w:sz w:val="14"/>
              </w:rPr>
              <w:t>2. The competent authorities shall draw up and transmit to the Commission a report in electronic form, on the data on animal welfare, set out in Annex III, by 31 August at three-yearly intervals. The first such report shall be drawn up and transmitted to the Commission by ... [date 6 years from the date of entry into force of this Regulation]. Each report shall contain a summary of the data gathered during the previous three years.</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r>
      <w:tr>
        <w:tc>
          <w:tcPr>
            <w:shd w:val="clear" w:color="auto" w:fill="FFFFFF"/>
            <w:tcW w:w="7937" w:type="dxa"/>
            <w:vAlign w:val="top"/>
            <w:tcMar>
              <w:top w:w="50" w:type="dxa"/>
              <w:bottom w:w="50" w:type="dxa"/>
              <w:left w:w="80" w:type="dxa"/>
              <w:right w:w="60" w:type="dxa"/>
            </w:tcMar>
          </w:tcPr>
          <w:p>
            <w:pPr>
              <w:spacing w:before="0" w:after="40"/>
            </w:pPr>
            <w:r>
              <w:rPr>
                <w:b/>
                <w:color w:val="1F4E79"/>
                <w:sz w:val="16"/>
              </w:rPr>
              <w:t>Art. 31(1)</w:t>
            </w:r>
          </w:p>
          <w:p>
            <w:pPr>
              <w:spacing w:before="0" w:after="60"/>
            </w:pPr>
            <w:r>
              <w:rPr>
                <w:color w:val="303030"/>
                <w:sz w:val="14"/>
              </w:rPr>
              <w:t>1. On the basis of the reports received in accordance with Article 24 and any additional relevant information, the Commission shall publish, by ... [7 years from the date of entry into force of this Regulation] and thereafter at three-yearly intervals, a monitoring report on the welfare of dogs and cats placed on the market in the Union.</w:t>
            </w: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r>
      <w:tr>
        <w:tc>
          <w:tcPr>
            <w:shd w:val="clear" w:color="auto" w:fill="EBF3FB"/>
            <w:tcW w:w="7937" w:type="dxa"/>
            <w:vAlign w:val="top"/>
            <w:tcMar>
              <w:top w:w="50" w:type="dxa"/>
              <w:bottom w:w="50" w:type="dxa"/>
              <w:left w:w="80" w:type="dxa"/>
              <w:right w:w="60" w:type="dxa"/>
            </w:tcMar>
          </w:tcPr>
          <w:p>
            <w:pPr>
              <w:spacing w:before="0" w:after="40"/>
            </w:pPr>
            <w:r>
              <w:rPr>
                <w:b/>
                <w:color w:val="1F4E79"/>
                <w:sz w:val="16"/>
              </w:rPr>
              <w:t>Art. 31(2)</w:t>
            </w:r>
          </w:p>
          <w:p>
            <w:pPr>
              <w:spacing w:before="0" w:after="0"/>
            </w:pPr>
            <w:r>
              <w:rPr>
                <w:color w:val="303030"/>
                <w:sz w:val="14"/>
              </w:rPr>
              <w:t>2. By … [14 years from the date of entry into force of this Regulation], the Commission shall carry out an evaluation of this Regulation and present a report on the main findings to the European Parliament, the Council, the European Economic and Social Committee, and the Committee of the Regions. In that evaluation and report the Commission shall assess, in particular:</w:t>
            </w:r>
          </w:p>
          <w:p>
            <w:pPr>
              <w:spacing w:before="0" w:after="0"/>
            </w:pPr>
            <w:r>
              <w:rPr>
                <w:color w:val="303030"/>
                <w:sz w:val="14"/>
              </w:rPr>
              <w:t>(a) the extent to which this Regulation has contributed to ensuring a high level of welfare for dogs and cats, improving their traceability, and reducing the illegal trade in them;</w:t>
            </w:r>
          </w:p>
          <w:p>
            <w:pPr>
              <w:spacing w:before="0" w:after="60"/>
            </w:pPr>
            <w:r>
              <w:rPr>
                <w:color w:val="303030"/>
                <w:sz w:val="14"/>
              </w:rPr>
              <w:t>(b) the impact that this Regulation has had on operators of breeding and selling establishments and shelters, and of operators who place dogs and cats in foster homes, taking into account inter alia the administrative burden and compliance costs.</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r>
      <w:tr>
        <w:tc>
          <w:tcPr>
            <w:tcW w:type="dxa" w:w="15132"/>
            <w:gridSpan w:val="13"/>
            <w:shd w:val="clear" w:color="auto" w:fill="D9E8F5"/>
            <w:vAlign w:val="center"/>
            <w:tcMar>
              <w:top w:w="50" w:type="dxa"/>
              <w:bottom w:w="50" w:type="dxa"/>
              <w:left w:w="100" w:type="dxa"/>
              <w:right w:w="80" w:type="dxa"/>
            </w:tcMar>
          </w:tcPr>
          <w:p>
            <w:pPr>
              <w:spacing w:before="0" w:after="0"/>
            </w:pPr>
            <w:r>
              <w:rPr>
                <w:b/>
                <w:i/>
                <w:color w:val="1F4E79"/>
                <w:sz w:val="17"/>
              </w:rPr>
              <w:t>Grupo 7 — Disposições Institucionais</w:t>
            </w:r>
          </w:p>
        </w:tc>
      </w:tr>
      <w:tr>
        <w:tc>
          <w:tcPr>
            <w:shd w:val="clear" w:color="auto" w:fill="EBF3FB"/>
            <w:tcW w:w="7937" w:type="dxa"/>
            <w:vAlign w:val="top"/>
            <w:tcMar>
              <w:top w:w="50" w:type="dxa"/>
              <w:bottom w:w="50" w:type="dxa"/>
              <w:left w:w="80" w:type="dxa"/>
              <w:right w:w="60" w:type="dxa"/>
            </w:tcMar>
          </w:tcPr>
          <w:p>
            <w:pPr>
              <w:spacing w:before="0" w:after="40"/>
            </w:pPr>
            <w:r>
              <w:rPr>
                <w:b/>
                <w:color w:val="1F4E79"/>
                <w:sz w:val="16"/>
              </w:rPr>
              <w:t>Art. 30(2)</w:t>
            </w:r>
          </w:p>
          <w:p>
            <w:pPr>
              <w:spacing w:before="0" w:after="60"/>
            </w:pPr>
            <w:r>
              <w:rPr>
                <w:color w:val="303030"/>
                <w:sz w:val="14"/>
              </w:rPr>
              <w:t>2. Member States shall, by ... [two years after the date of entry into force of this Regulation], inform the Commission about any existing stricter national rules that they intend to maintain in accordance with paragraph 1. Thereafter, Member States shall inform the Commission about stricter national rules before their adoption, unless the Member States have already notified the draft national rules as a draft technical regulation under Article 5 of Directive (EU) 2015/1535 of the European Parliament and of the Council. The Commission shall bring them to the attention of the other Member States.</w:t>
            </w:r>
          </w:p>
        </w:tc>
        <w:tc>
          <w:tcPr>
            <w:shd w:val="clear" w:color="auto" w:fill="EBF3FB"/>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c>
          <w:tcPr>
            <w:shd w:val="clear" w:color="auto" w:fill="EBF3FB"/>
            <w:tcW w:w="600" w:type="dxa"/>
            <w:vAlign w:val="center"/>
            <w:tcMar>
              <w:top w:w="40" w:type="dxa"/>
              <w:bottom w:w="40" w:type="dxa"/>
              <w:left w:w="8" w:type="dxa"/>
              <w:right w:w="8" w:type="dxa"/>
            </w:tcMar>
          </w:tcPr>
          <w:p>
            <w:pPr>
              <w:spacing w:before="0" w:after="0"/>
              <w:jc w:val="center"/>
            </w:pPr>
          </w:p>
        </w:tc>
      </w:tr>
      <w:tr>
        <w:tc>
          <w:tcPr>
            <w:shd w:val="clear" w:color="auto" w:fill="FFFFFF"/>
            <w:tcW w:w="7937" w:type="dxa"/>
            <w:vAlign w:val="top"/>
            <w:tcMar>
              <w:top w:w="50" w:type="dxa"/>
              <w:bottom w:w="50" w:type="dxa"/>
              <w:left w:w="80" w:type="dxa"/>
              <w:right w:w="60" w:type="dxa"/>
            </w:tcMar>
          </w:tcPr>
          <w:p>
            <w:pPr>
              <w:spacing w:before="0" w:after="40"/>
            </w:pPr>
            <w:r>
              <w:rPr>
                <w:b/>
                <w:color w:val="1F4E79"/>
                <w:sz w:val="16"/>
              </w:rPr>
              <w:t>Art. 33</w:t>
              <w:br/>
            </w:r>
            <w:r>
              <w:rPr>
                <w:i/>
                <w:color w:val="808080"/>
                <w:sz w:val="13"/>
              </w:rPr>
              <w:t>(norma geral de aplicação)</w:t>
            </w:r>
          </w:p>
          <w:p>
            <w:pPr>
              <w:spacing w:before="0" w:after="0"/>
            </w:pPr>
            <w:r>
              <w:rPr>
                <w:color w:val="303030"/>
                <w:sz w:val="14"/>
              </w:rPr>
              <w:t>This Regulation shall enter into force on the twentieth day following that of its publication in the Official Journal of the European Union.</w:t>
            </w:r>
          </w:p>
          <w:p>
            <w:pPr>
              <w:spacing w:before="0" w:after="0"/>
            </w:pPr>
            <w:r>
              <w:rPr>
                <w:color w:val="303030"/>
                <w:sz w:val="14"/>
              </w:rPr>
              <w:t>It shall apply from ... [two years from the date of entry into force of this Regulation]. However,</w:t>
            </w:r>
          </w:p>
          <w:p>
            <w:pPr>
              <w:spacing w:before="0" w:after="0"/>
            </w:pPr>
            <w:r>
              <w:rPr>
                <w:color w:val="303030"/>
                <w:sz w:val="14"/>
              </w:rPr>
              <w:t>(i) Article 16 shall apply from … [three years from the date of entry into force of this Regulation];</w:t>
            </w:r>
          </w:p>
          <w:p>
            <w:pPr>
              <w:spacing w:before="0" w:after="0"/>
            </w:pPr>
            <w:r>
              <w:rPr>
                <w:color w:val="303030"/>
                <w:sz w:val="14"/>
              </w:rPr>
              <w:t>(ii) Article 21(3) and Article 23(1) shall apply from … [four years from entry into force of this Regulation];</w:t>
            </w:r>
          </w:p>
          <w:p>
            <w:pPr>
              <w:spacing w:before="0" w:after="0"/>
            </w:pPr>
            <w:r>
              <w:rPr>
                <w:color w:val="303030"/>
                <w:sz w:val="14"/>
              </w:rPr>
              <w:t>(iii) Article 8(1) shall apply from 1 July 2036 and Article 8(2) shall apply from 1 July 2030;</w:t>
            </w:r>
          </w:p>
          <w:p>
            <w:pPr>
              <w:spacing w:before="0" w:after="0"/>
            </w:pPr>
            <w:r>
              <w:rPr>
                <w:color w:val="303030"/>
                <w:sz w:val="14"/>
              </w:rPr>
              <w:t>(iv) Article 15, Article 21(3), second subparagraph, (4) and (5), Article 22(1), points (a),(b) and (c), Article 23(3) and (4), and Article 26(1), (2) and (3) shall apply from … [five years from the date of entry into force of this Regulation];</w:t>
            </w:r>
          </w:p>
          <w:p>
            <w:pPr>
              <w:spacing w:before="0" w:after="0"/>
            </w:pPr>
            <w:r>
              <w:rPr>
                <w:color w:val="303030"/>
                <w:sz w:val="14"/>
              </w:rPr>
              <w:t>(v) Article 12(2) and (3) shall apply from … [seven years from the date of entry into force of this Regulation];</w:t>
            </w:r>
          </w:p>
          <w:p>
            <w:pPr>
              <w:spacing w:before="0" w:after="0"/>
            </w:pPr>
            <w:r>
              <w:rPr>
                <w:color w:val="303030"/>
                <w:sz w:val="14"/>
              </w:rPr>
              <w:t>(vi) Article 10 shall apply from … [eight years from the date of entry into force of this Regulation]; and</w:t>
            </w:r>
          </w:p>
          <w:p>
            <w:pPr>
              <w:spacing w:before="0" w:after="0"/>
            </w:pPr>
            <w:r>
              <w:rPr>
                <w:color w:val="303030"/>
                <w:sz w:val="14"/>
              </w:rPr>
              <w:t>(vii) Article 26(4) shall apply from … [10 years from the entry into force of the Regulation].</w:t>
            </w:r>
          </w:p>
          <w:p>
            <w:pPr>
              <w:spacing w:before="0" w:after="60"/>
            </w:pPr>
            <w:r>
              <w:rPr>
                <w:color w:val="303030"/>
                <w:sz w:val="14"/>
              </w:rPr>
              <w:t>This Regulation shall be binding in its entirety and directly applicable in all Member States.</w:t>
            </w:r>
          </w:p>
        </w:tc>
        <w:tc>
          <w:tcPr>
            <w:shd w:val="clear" w:color="auto" w:fill="FFFFFF"/>
            <w:tcW w:w="600" w:type="dxa"/>
            <w:vAlign w:val="center"/>
            <w:tcMar>
              <w:top w:w="40" w:type="dxa"/>
              <w:bottom w:w="40" w:type="dxa"/>
              <w:left w:w="8" w:type="dxa"/>
              <w:right w:w="8" w:type="dxa"/>
            </w:tcMar>
          </w:tcPr>
          <w:p>
            <w:pPr>
              <w:spacing w:before="0" w:after="0"/>
              <w:jc w:val="center"/>
            </w:pPr>
            <w:r>
              <w:rPr>
                <w:b/>
                <w:color w:val="1F4E79"/>
                <w:sz w:val="20"/>
              </w:rPr>
              <w:t>✓</w:t>
            </w: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c>
          <w:tcPr>
            <w:shd w:val="clear" w:color="auto" w:fill="FFFFFF"/>
            <w:tcW w:w="600" w:type="dxa"/>
            <w:vAlign w:val="center"/>
            <w:tcMar>
              <w:top w:w="40" w:type="dxa"/>
              <w:bottom w:w="40" w:type="dxa"/>
              <w:left w:w="8" w:type="dxa"/>
              <w:right w:w="8" w:type="dxa"/>
            </w:tcMar>
          </w:tcPr>
          <w:p>
            <w:pPr>
              <w:spacing w:before="0" w:after="0"/>
              <w:jc w:val="center"/>
            </w:pPr>
          </w:p>
        </w:tc>
      </w:tr>
    </w:tbl>
    <w:p>
      <w:pPr>
        <w:spacing w:before="200" w:after="0"/>
      </w:pPr>
      <w:r>
        <w:rPr>
          <w:i/>
          <w:color w:val="808080"/>
          <w:sz w:val="15"/>
        </w:rPr>
        <w:t>Nota: Texto verbatim em inglês conforme Regulamento 2023/0447 (versão de 11.12.2025). Os prazos em anos são relativos à data de entrada em vigor. As datas 1 Jul. 2030 e 1 Jul. 2036 são absolutas (Art. 33, ponto iii). Blocos [PRAZO] em azul indicam que o prazo está numa norma diferente da norma substantiva.</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