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1.11</w:t>
            </w:r>
          </w:p>
        </w:tc>
      </w:tr>
      <w:tr>
        <w:tc>
          <w:tcPr>
            <w:tcW w:w="2551" w:type="dxa"/>
          </w:tcPr>
          <w:p>
            <w:pPr>
              <w:spacing w:after="60"/>
            </w:pPr>
            <w:r/>
            <w:r>
              <w:rPr>
                <w:b/>
                <w:sz w:val="20"/>
              </w:rPr>
              <w:t>Data</w:t>
            </w:r>
          </w:p>
        </w:tc>
        <w:tc>
          <w:tcPr>
            <w:tcW w:w="6520" w:type="dxa"/>
          </w:tcPr>
          <w:p>
            <w:pPr>
              <w:spacing w:after="60"/>
            </w:pPr>
            <w:r/>
            <w:r>
              <w:rPr>
                <w:b w:val="0"/>
                <w:sz w:val="20"/>
              </w:rPr>
              <w:t>8.10.2026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35</w:t>
            </w:r>
          </w:p>
        </w:tc>
        <w:tc>
          <w:tcPr>
            <w:tcW w:w="1701" w:type="dxa"/>
          </w:tcPr>
          <w:p>
            <w:pPr>
              <w:spacing w:after="60"/>
            </w:pPr>
            <w:r/>
            <w:r>
              <w:rPr>
                <w:b/>
                <w:sz w:val="20"/>
              </w:rPr>
              <w:t>117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TIT-20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(1)</w:t>
      </w:r>
    </w:p>
    <w:p>
      <w:pPr>
        <w:spacing w:after="20"/>
        <w:ind w:left="454"/>
      </w:pPr>
      <w:r>
        <w:rPr>
          <w:b w:val="0"/>
          <w:i w:val="0"/>
        </w:rPr>
        <w:t>TIT-12. Redação por decidir no art. 22.º (art. 22.º, cap. IV)</w:t>
      </w:r>
    </w:p>
    <w:p>
      <w:pPr>
        <w:pStyle w:val="Heading2"/>
      </w:pPr>
      <w:r>
        <w:rPr>
          <w:i w:val="0"/>
          <w:color w:val="000000"/>
        </w:rPr>
        <w:t>SAN. Fiscalização e contraordenações (2)</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