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93" w:lineRule="auto"/>
      </w:pPr>
      <w:r>
        <w:rPr>
          <w:rFonts w:ascii="Aptos" w:hAnsi="Aptos" w:cs="Aptos" w:eastAsia="Aptos"/>
          <w:b/>
          <w:i w:val="0"/>
          <w:color w:val="5C7891"/>
          <w:spacing w:val="50"/>
          <w:sz w:val="17"/>
        </w:rPr>
        <w:t>DOCUMENTO DE REFLEXÃO</w:t>
      </w:r>
    </w:p>
    <w:p>
      <w:pPr>
        <w:spacing w:before="0" w:after="40" w:line="293" w:lineRule="auto"/>
      </w:pPr>
      <w:r>
        <w:rPr>
          <w:rFonts w:ascii="Aptos" w:hAnsi="Aptos" w:cs="Aptos" w:eastAsia="Aptos"/>
          <w:b/>
          <w:i w:val="0"/>
          <w:color w:val="35506B"/>
          <w:sz w:val="42"/>
        </w:rPr>
        <w:t>Reflexões sobre os programas de captura, esterilização e devolução</w:t>
      </w:r>
    </w:p>
    <w:p>
      <w:pPr>
        <w:spacing w:before="0" w:after="200" w:line="293" w:lineRule="auto"/>
      </w:pPr>
      <w:r>
        <w:rPr>
          <w:rFonts w:ascii="Aptos" w:hAnsi="Aptos" w:cs="Aptos" w:eastAsia="Aptos"/>
          <w:b w:val="0"/>
          <w:i w:val="0"/>
          <w:color w:val="5C7891"/>
          <w:sz w:val="22"/>
        </w:rPr>
        <w:t>Zonas cinzentas do regime jurídico do CED — lacunas reconhecidas, controvérsias em aberto e posições das partes interessadas</w:t>
      </w:r>
    </w:p>
    <w:p>
      <w:pPr>
        <w:pBdr>
          <w:bottom w:val="single" w:sz="8" w:space="1" w:color="A9C2D8"/>
        </w:pBdr>
        <w:spacing w:before="0" w:after="120" w:line="40" w:lineRule="exact"/>
      </w:pPr>
    </w:p>
    <w:p>
      <w:pPr>
        <w:spacing w:before="0" w:after="280" w:line="293" w:lineRule="auto"/>
      </w:pPr>
      <w:r>
        <w:rPr>
          <w:rFonts w:ascii="Aptos" w:hAnsi="Aptos" w:cs="Aptos" w:eastAsia="Aptos"/>
          <w:b w:val="0"/>
          <w:i w:val="0"/>
          <w:color w:val="7C8894"/>
          <w:sz w:val="17"/>
        </w:rPr>
        <w:t>Direção-Geral de Alimentação e Veterinária   ·   setembro de 2026</w:t>
      </w:r>
    </w:p>
    <w:p>
      <w:pPr>
        <w:keepNext/>
        <w:spacing w:before="360" w:after="40" w:line="293" w:lineRule="auto"/>
      </w:pPr>
      <w:r>
        <w:rPr>
          <w:rFonts w:ascii="Aptos" w:hAnsi="Aptos" w:cs="Aptos" w:eastAsia="Aptos"/>
          <w:b/>
          <w:i w:val="0"/>
          <w:color w:val="5C7891"/>
          <w:sz w:val="27"/>
        </w:rPr>
        <w:t xml:space="preserve">1.  </w:t>
      </w:r>
      <w:r>
        <w:rPr>
          <w:rFonts w:ascii="Aptos" w:hAnsi="Aptos" w:cs="Aptos" w:eastAsia="Aptos"/>
          <w:b/>
          <w:i w:val="0"/>
          <w:color w:val="35506B"/>
          <w:sz w:val="27"/>
        </w:rPr>
        <w:t>Objeto, método e advertência</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Este documento reúne e organiza as questões que o regime jurídico dos programas de captura, esterilização e devolução deixa por resolver. Não é uma tomada de posição institucional. É um levantamento destinado a suportar decisão — seja na resposta a pedidos de esclarecimento concretos, seja na preparação de uma revisão normativa.</w:t>
      </w:r>
    </w:p>
    <w:p>
      <w:pPr>
        <w:spacing w:before="0" w:after="140" w:line="293" w:lineRule="auto"/>
        <w:jc w:val="both"/>
      </w:pPr>
      <w:r>
        <w:rPr>
          <w:rFonts w:ascii="Aptos" w:hAnsi="Aptos" w:cs="Aptos" w:eastAsia="Aptos"/>
          <w:b w:val="0"/>
          <w:i w:val="0"/>
          <w:color w:val="2B2B2B"/>
          <w:sz w:val="20"/>
        </w:rPr>
        <w:t>O método foi o seguinte. Partiu-se do texto em vigor — a Lei n.º 27/2016, de 23 de agosto, e a Portaria n.º 146/2017, de 26 de abril — e confrontou-se com quatro tipos de fonte: documentos oficiais de diagnóstico, pareceres de organizações profissionais, posições partidárias e regulamentos e manuais municipais. Sempre que a fonte é citada, é-o verbatim.</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C9D2DA"/>
              <w:bottom w:val="nil"/>
              <w:right w:val="nil"/>
            </w:tcBorders>
            <w:shd w:val="clear" w:color="auto" w:fill="F6F7F8"/>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18"/>
              </w:rPr>
              <w:t xml:space="preserve">Duas fontes estruturam todo o documento e merecem ser identificadas desde já. A </w:t>
            </w:r>
            <w:r>
              <w:rPr>
                <w:rFonts w:ascii="Aptos" w:hAnsi="Aptos" w:cs="Aptos" w:eastAsia="Aptos"/>
                <w:b/>
                <w:i w:val="0"/>
                <w:color w:val="2B2B2B"/>
                <w:sz w:val="18"/>
              </w:rPr>
              <w:t>Estratégia Nacional para os Animais Errantes</w:t>
            </w:r>
            <w:r>
              <w:rPr>
                <w:rFonts w:ascii="Aptos" w:hAnsi="Aptos" w:cs="Aptos" w:eastAsia="Aptos"/>
                <w:b w:val="0"/>
                <w:i w:val="0"/>
                <w:color w:val="2B2B2B"/>
                <w:sz w:val="18"/>
              </w:rPr>
              <w:t xml:space="preserve">, elaborada pelo Departamento de Bem-Estar dos Animais de Companhia do ICNF e submetida a consulta pública entre 19 de julho e 30 de agosto de 2023, e o </w:t>
            </w:r>
            <w:r>
              <w:rPr>
                <w:rFonts w:ascii="Aptos" w:hAnsi="Aptos" w:cs="Aptos" w:eastAsia="Aptos"/>
                <w:b/>
                <w:i w:val="0"/>
                <w:color w:val="2B2B2B"/>
                <w:sz w:val="18"/>
              </w:rPr>
              <w:t>Relatório Final do Grupo de Trabalho para o Bem-Estar Animal</w:t>
            </w:r>
            <w:r>
              <w:rPr>
                <w:rFonts w:ascii="Aptos" w:hAnsi="Aptos" w:cs="Aptos" w:eastAsia="Aptos"/>
                <w:b w:val="0"/>
                <w:i w:val="0"/>
                <w:color w:val="2B2B2B"/>
                <w:sz w:val="18"/>
              </w:rPr>
              <w:t xml:space="preserve"> sobre a avaliação da implementação da Lei n.º 27/2016, publicado pela DGAV em 2021. Ambos são documentos do próprio Estado e ambos </w:t>
            </w:r>
            <w:r>
              <w:rPr>
                <w:rFonts w:ascii="Aptos" w:hAnsi="Aptos" w:cs="Aptos" w:eastAsia="Aptos"/>
                <w:b/>
                <w:i w:val="0"/>
                <w:color w:val="2B2B2B"/>
                <w:sz w:val="18"/>
              </w:rPr>
              <w:t>reconhecem por escrito</w:t>
            </w:r>
            <w:r>
              <w:rPr>
                <w:rFonts w:ascii="Aptos" w:hAnsi="Aptos" w:cs="Aptos" w:eastAsia="Aptos"/>
                <w:b w:val="0"/>
                <w:i w:val="0"/>
                <w:color w:val="2B2B2B"/>
                <w:sz w:val="18"/>
              </w:rPr>
              <w:t xml:space="preserve"> a maior parte das lacunas inventariadas adiante. Não se está, portanto, a inferir a existência dos problemas: a Administração já os declarou.</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Advertência quanto ao estatuto das fontes.</w:t>
            </w:r>
            <w:r>
              <w:rPr>
                <w:rFonts w:ascii="Aptos" w:hAnsi="Aptos" w:cs="Aptos" w:eastAsia="Aptos"/>
                <w:b w:val="0"/>
                <w:i w:val="0"/>
                <w:color w:val="2B2B2B"/>
                <w:sz w:val="19"/>
              </w:rPr>
              <w:t xml:space="preserve"> A Estratégia Nacional para os Animais Errantes é uma proposta submetida a consulta pública; não foi localizado ato que a aprove com força normativa. O projeto de revisão da Portaria n.º 146/2017 referido no ponto 4 nunca foi publicado. Um e outro valem como elementos de diagnóstico e de intenção da Administração, não como direito vigente. As posições de organizações profissionais e de partidos valem como o que são: opiniões de partes interessadas.</w:t>
            </w:r>
          </w:p>
        </w:tc>
      </w:tr>
    </w:tbl>
    <w:p>
      <w:pPr>
        <w:spacing w:before="0" w:after="180" w:line="293" w:lineRule="auto"/>
      </w:pPr>
    </w:p>
    <w:p>
      <w:pPr>
        <w:keepNext/>
        <w:spacing w:before="360" w:after="40" w:line="293" w:lineRule="auto"/>
      </w:pPr>
      <w:r>
        <w:rPr>
          <w:rFonts w:ascii="Aptos" w:hAnsi="Aptos" w:cs="Aptos" w:eastAsia="Aptos"/>
          <w:b/>
          <w:i w:val="0"/>
          <w:color w:val="5C7891"/>
          <w:sz w:val="27"/>
        </w:rPr>
        <w:t xml:space="preserve">2.  </w:t>
      </w:r>
      <w:r>
        <w:rPr>
          <w:rFonts w:ascii="Aptos" w:hAnsi="Aptos" w:cs="Aptos" w:eastAsia="Aptos"/>
          <w:b/>
          <w:i w:val="0"/>
          <w:color w:val="35506B"/>
          <w:sz w:val="27"/>
        </w:rPr>
        <w:t>Sumário — as vinte e uma zonas cinzentas</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O inventário que se segue está organizado em seis grupos. Os quatro primeiros pontos são lacunas que a Administração já reconheceu por escrito; os restantes resultam do confronto entre o texto da Portaria e a sua aplicação.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567"/>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w:t>
            </w:r>
          </w:p>
        </w:tc>
        <w:tc>
          <w:tcPr>
            <w:tcW w:type="dxa" w:w="5443"/>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Questão</w:t>
            </w:r>
          </w:p>
        </w:tc>
        <w:tc>
          <w:tcPr>
            <w:tcW w:type="dxa" w:w="3402"/>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Estado</w:t>
            </w:r>
          </w:p>
        </w:tc>
      </w:tr>
      <w:tr>
        <w:trPr>
          <w:cantSplit/>
        </w:trPr>
        <w:tc>
          <w:tcPr>
            <w:tcW w:type="dxa" w:w="56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1</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O estatuto de cuidador de colónia não está definido</w:t>
            </w:r>
          </w:p>
        </w:tc>
        <w:tc>
          <w:tcPr>
            <w:tcW w:type="dxa" w:w="340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Reconhecido pela ENAE</w:t>
            </w:r>
          </w:p>
        </w:tc>
      </w:tr>
      <w:tr>
        <w:trPr>
          <w:cantSplit/>
        </w:trPr>
        <w:tc>
          <w:tcPr>
            <w:tcW w:type="dxa" w:w="56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As famílias de acolhimento temporário não estão reguladas</w:t>
            </w:r>
          </w:p>
        </w:tc>
        <w:tc>
          <w:tcPr>
            <w:tcW w:type="dxa" w:w="340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Reconhecido pela ENAE</w:t>
            </w:r>
          </w:p>
        </w:tc>
      </w:tr>
      <w:tr>
        <w:trPr>
          <w:cantSplit/>
        </w:trPr>
        <w:tc>
          <w:tcPr>
            <w:tcW w:type="dxa" w:w="56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3</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se sabe quantas colónias existem nem onde</w:t>
            </w:r>
          </w:p>
        </w:tc>
        <w:tc>
          <w:tcPr>
            <w:tcW w:type="dxa" w:w="340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Reconhecido pela ENAE</w:t>
            </w:r>
          </w:p>
        </w:tc>
      </w:tr>
      <w:tr>
        <w:trPr>
          <w:cantSplit/>
        </w:trPr>
        <w:tc>
          <w:tcPr>
            <w:tcW w:type="dxa" w:w="56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4</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existe guia nacional de boas práticas para o CED</w:t>
            </w:r>
          </w:p>
        </w:tc>
        <w:tc>
          <w:tcPr>
            <w:tcW w:type="dxa" w:w="340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Reconhecido pela ENAE</w:t>
            </w:r>
          </w:p>
        </w:tc>
      </w:tr>
      <w:tr>
        <w:trPr>
          <w:cantSplit/>
        </w:trPr>
        <w:tc>
          <w:tcPr>
            <w:tcW w:type="dxa" w:w="56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5</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O CED não está implementado em todo o território</w:t>
            </w:r>
          </w:p>
        </w:tc>
        <w:tc>
          <w:tcPr>
            <w:tcW w:type="dxa" w:w="340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Reconhecido pela ENAE</w:t>
            </w:r>
          </w:p>
        </w:tc>
      </w:tr>
      <w:tr>
        <w:trPr>
          <w:cantSplit/>
        </w:trPr>
        <w:tc>
          <w:tcPr>
            <w:tcW w:type="dxa" w:w="56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6</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Regulamentos municipais proíbem alimentar errantes</w:t>
            </w:r>
          </w:p>
        </w:tc>
        <w:tc>
          <w:tcPr>
            <w:tcW w:type="dxa" w:w="340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Reconhecido pela ENAE</w:t>
            </w:r>
          </w:p>
        </w:tc>
      </w:tr>
      <w:tr>
        <w:trPr>
          <w:cantSplit/>
        </w:trPr>
        <w:tc>
          <w:tcPr>
            <w:tcW w:type="dxa" w:w="56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7</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Faculdade ou dever do município?</w:t>
            </w:r>
          </w:p>
        </w:tc>
        <w:tc>
          <w:tcPr>
            <w:tcW w:type="dxa" w:w="340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Zona cinzenta de regime</w:t>
            </w:r>
          </w:p>
        </w:tc>
      </w:tr>
      <w:tr>
        <w:trPr>
          <w:cantSplit/>
        </w:trPr>
        <w:tc>
          <w:tcPr>
            <w:tcW w:type="dxa" w:w="56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8</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Quem é a «entidade responsável pelo CED»?</w:t>
            </w:r>
          </w:p>
        </w:tc>
        <w:tc>
          <w:tcPr>
            <w:tcW w:type="dxa" w:w="340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Zona cinzenta de regime</w:t>
            </w:r>
          </w:p>
        </w:tc>
      </w:tr>
      <w:tr>
        <w:trPr>
          <w:cantSplit/>
        </w:trPr>
        <w:tc>
          <w:tcPr>
            <w:tcW w:type="dxa" w:w="56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9</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Em nome de quem se registam os animais no SIAC?</w:t>
            </w:r>
          </w:p>
        </w:tc>
        <w:tc>
          <w:tcPr>
            <w:tcW w:type="dxa" w:w="340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Zona cinzenta de regime</w:t>
            </w:r>
          </w:p>
        </w:tc>
      </w:tr>
      <w:tr>
        <w:trPr>
          <w:cantSplit/>
        </w:trPr>
        <w:tc>
          <w:tcPr>
            <w:tcW w:type="dxa" w:w="56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10</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Responsabilidade civil por danos causados pelos animais</w:t>
            </w:r>
          </w:p>
        </w:tc>
        <w:tc>
          <w:tcPr>
            <w:tcW w:type="dxa" w:w="340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Zona cinzenta de regime</w:t>
            </w:r>
          </w:p>
        </w:tc>
      </w:tr>
      <w:tr>
        <w:trPr>
          <w:cantSplit/>
        </w:trPr>
        <w:tc>
          <w:tcPr>
            <w:tcW w:type="dxa" w:w="56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11</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O critério feral / sociável: quem decide e como</w:t>
            </w:r>
          </w:p>
        </w:tc>
        <w:tc>
          <w:tcPr>
            <w:tcW w:type="dxa" w:w="340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Zona cinzenta de regime</w:t>
            </w:r>
          </w:p>
        </w:tc>
      </w:tr>
      <w:tr>
        <w:trPr>
          <w:cantSplit/>
        </w:trPr>
        <w:tc>
          <w:tcPr>
            <w:tcW w:type="dxa" w:w="56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12</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Crias: quatro prazos que não se articulam</w:t>
            </w:r>
          </w:p>
        </w:tc>
        <w:tc>
          <w:tcPr>
            <w:tcW w:type="dxa" w:w="340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Zona cinzenta de regime</w:t>
            </w:r>
          </w:p>
        </w:tc>
      </w:tr>
      <w:tr>
        <w:trPr>
          <w:cantSplit/>
        </w:trPr>
        <w:tc>
          <w:tcPr>
            <w:tcW w:type="dxa" w:w="56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13</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Colónias em propriedade privada: silêncio total</w:t>
            </w:r>
          </w:p>
        </w:tc>
        <w:tc>
          <w:tcPr>
            <w:tcW w:type="dxa" w:w="340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Zona cinzenta de regime</w:t>
            </w:r>
          </w:p>
        </w:tc>
      </w:tr>
      <w:tr>
        <w:trPr>
          <w:cantSplit/>
        </w:trPr>
        <w:tc>
          <w:tcPr>
            <w:tcW w:type="dxa" w:w="56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14</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Devolução a local que não garante segurança</w:t>
            </w:r>
          </w:p>
        </w:tc>
        <w:tc>
          <w:tcPr>
            <w:tcW w:type="dxa" w:w="340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Zona cinzenta de regime</w:t>
            </w:r>
          </w:p>
        </w:tc>
      </w:tr>
      <w:tr>
        <w:trPr>
          <w:cantSplit/>
        </w:trPr>
        <w:tc>
          <w:tcPr>
            <w:tcW w:type="dxa" w:w="56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15</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Suspensão e recolha sem garantias procedimentais</w:t>
            </w:r>
          </w:p>
        </w:tc>
        <w:tc>
          <w:tcPr>
            <w:tcW w:type="dxa" w:w="340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Zona cinzenta de regime</w:t>
            </w:r>
          </w:p>
        </w:tc>
      </w:tr>
      <w:tr>
        <w:trPr>
          <w:cantSplit/>
        </w:trPr>
        <w:tc>
          <w:tcPr>
            <w:tcW w:type="dxa" w:w="56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16</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CED e conservação da natureza: rota de colisão</w:t>
            </w:r>
          </w:p>
        </w:tc>
        <w:tc>
          <w:tcPr>
            <w:tcW w:type="dxa" w:w="340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Conflito de políticas</w:t>
            </w:r>
          </w:p>
        </w:tc>
      </w:tr>
      <w:tr>
        <w:trPr>
          <w:cantSplit/>
        </w:trPr>
        <w:tc>
          <w:tcPr>
            <w:tcW w:type="dxa" w:w="56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17</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Dispersão e reversão da tutela</w:t>
            </w:r>
          </w:p>
        </w:tc>
        <w:tc>
          <w:tcPr>
            <w:tcW w:type="dxa" w:w="340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Conflito de políticas</w:t>
            </w:r>
          </w:p>
        </w:tc>
      </w:tr>
      <w:tr>
        <w:trPr>
          <w:cantSplit/>
        </w:trPr>
        <w:tc>
          <w:tcPr>
            <w:tcW w:type="dxa" w:w="56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18</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 legislação como parte do problema</w:t>
            </w:r>
          </w:p>
        </w:tc>
        <w:tc>
          <w:tcPr>
            <w:tcW w:type="dxa" w:w="340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Conflito de políticas</w:t>
            </w:r>
          </w:p>
        </w:tc>
      </w:tr>
      <w:tr>
        <w:trPr>
          <w:cantSplit/>
        </w:trPr>
        <w:tc>
          <w:tcPr>
            <w:tcW w:type="dxa" w:w="56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19</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 extensão do CED a cães</w:t>
            </w:r>
          </w:p>
        </w:tc>
        <w:tc>
          <w:tcPr>
            <w:tcW w:type="dxa" w:w="340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Controvérsia ativa</w:t>
            </w:r>
          </w:p>
        </w:tc>
      </w:tr>
      <w:tr>
        <w:trPr>
          <w:cantSplit/>
        </w:trPr>
        <w:tc>
          <w:tcPr>
            <w:tcW w:type="dxa" w:w="56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20</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Falta de médicos veterinários municipais</w:t>
            </w:r>
          </w:p>
        </w:tc>
        <w:tc>
          <w:tcPr>
            <w:tcW w:type="dxa" w:w="340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Capacidade institucional</w:t>
            </w:r>
          </w:p>
        </w:tc>
      </w:tr>
      <w:tr>
        <w:trPr>
          <w:cantSplit/>
        </w:trPr>
        <w:tc>
          <w:tcPr>
            <w:tcW w:type="dxa" w:w="56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21</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 figura do animal comunitário não existe</w:t>
            </w:r>
          </w:p>
        </w:tc>
        <w:tc>
          <w:tcPr>
            <w:tcW w:type="dxa" w:w="340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Proposta pendente</w:t>
            </w:r>
          </w:p>
        </w:tc>
      </w:tr>
    </w:tbl>
    <w:p>
      <w:pPr>
        <w:spacing w:before="40" w:after="180" w:line="293" w:lineRule="auto"/>
      </w:pP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3.  </w:t>
      </w:r>
      <w:r>
        <w:rPr>
          <w:rFonts w:ascii="Aptos" w:hAnsi="Aptos" w:cs="Aptos" w:eastAsia="Aptos"/>
          <w:b/>
          <w:i w:val="0"/>
          <w:color w:val="35506B"/>
          <w:sz w:val="27"/>
        </w:rPr>
        <w:t>O quadro normativo em vigor</w:t>
      </w:r>
    </w:p>
    <w:p>
      <w:pPr>
        <w:keepNext/>
        <w:pBdr>
          <w:bottom w:val="single" w:sz="4" w:space="1" w:color="D7DEE5"/>
        </w:pBdr>
        <w:spacing w:before="0" w:after="160" w:line="40" w:lineRule="exact"/>
      </w:pPr>
    </w:p>
    <w:p>
      <w:pPr>
        <w:keepNext/>
        <w:spacing w:before="200" w:after="60" w:line="293" w:lineRule="auto"/>
      </w:pPr>
      <w:r>
        <w:rPr>
          <w:rFonts w:ascii="Aptos" w:hAnsi="Aptos" w:cs="Aptos" w:eastAsia="Aptos"/>
          <w:b/>
          <w:i w:val="0"/>
          <w:color w:val="5C7891"/>
          <w:sz w:val="19"/>
        </w:rPr>
        <w:t>3.1  O dever do Estado</w:t>
      </w:r>
    </w:p>
    <w:p>
      <w:pPr>
        <w:spacing w:before="0" w:after="140" w:line="293" w:lineRule="auto"/>
        <w:jc w:val="both"/>
      </w:pPr>
      <w:r>
        <w:rPr>
          <w:rFonts w:ascii="Aptos" w:hAnsi="Aptos" w:cs="Aptos" w:eastAsia="Aptos"/>
          <w:b w:val="0"/>
          <w:i w:val="0"/>
          <w:color w:val="2B2B2B"/>
          <w:sz w:val="20"/>
        </w:rPr>
        <w:t>A base legal do CED é uma norma de uma só frase, que enuncia um dever e não uma faculdade.</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O Estado, por razões de saúde pública, assegura, por intermédio dos centros de recolha oficial de animais, a captura, vacinação e esterilização dos animais errantes sempre que necessário, assim como a concretização de programas captura, esterilização, devolução (CED) para gatos.</w:t>
            </w:r>
          </w:p>
          <w:p>
            <w:pPr>
              <w:spacing w:before="120" w:after="0" w:line="293" w:lineRule="auto"/>
            </w:pPr>
            <w:r>
              <w:rPr>
                <w:rFonts w:ascii="Aptos" w:hAnsi="Aptos" w:cs="Aptos" w:eastAsia="Aptos"/>
                <w:b w:val="0"/>
                <w:i w:val="0"/>
                <w:color w:val="7C8894"/>
                <w:sz w:val="15"/>
              </w:rPr>
              <w:t>Artigo 4.º da Lei n.º 27/2016, de 23 de agosto</w:t>
            </w:r>
          </w:p>
        </w:tc>
      </w:tr>
    </w:tbl>
    <w:p>
      <w:pPr>
        <w:spacing w:before="0" w:after="180" w:line="293" w:lineRule="auto"/>
      </w:pPr>
    </w:p>
    <w:p>
      <w:pPr>
        <w:keepNext/>
        <w:spacing w:before="200" w:after="60" w:line="293" w:lineRule="auto"/>
      </w:pPr>
      <w:r>
        <w:rPr>
          <w:rFonts w:ascii="Aptos" w:hAnsi="Aptos" w:cs="Aptos" w:eastAsia="Aptos"/>
          <w:b/>
          <w:i w:val="0"/>
          <w:color w:val="5C7891"/>
          <w:sz w:val="19"/>
        </w:rPr>
        <w:t>3.2  A regulamentação</w:t>
      </w:r>
    </w:p>
    <w:p>
      <w:pPr>
        <w:spacing w:before="0" w:after="140" w:line="293" w:lineRule="auto"/>
        <w:jc w:val="both"/>
      </w:pPr>
      <w:r>
        <w:rPr>
          <w:rFonts w:ascii="Aptos" w:hAnsi="Aptos" w:cs="Aptos" w:eastAsia="Aptos"/>
          <w:b w:val="0"/>
          <w:i w:val="0"/>
          <w:color w:val="2B2B2B"/>
          <w:sz w:val="20"/>
        </w:rPr>
        <w:t>Todo o regime operativo consta de um único artigo da Portaria n.º 146/2017, com dez números. Transcreve-se na íntegra, por ser a peça central de tudo o que se segue.</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Como forma de gestão da população de gatos errantes e nos casos em que tal se justifique, podem as câmaras municipais, sob parecer do médico veterinário municipal, autorizar a manutenção, em locais especialmente designados para o efeito, de colónias de gatos, no âmbito de programas de captura, esterilização e devolução (CED) ao local de origem.</w:t>
            </w:r>
          </w:p>
          <w:p>
            <w:pPr>
              <w:spacing w:before="0" w:after="80" w:line="293" w:lineRule="auto"/>
              <w:jc w:val="both"/>
            </w:pPr>
            <w:r>
              <w:rPr>
                <w:rFonts w:ascii="Aptos" w:hAnsi="Aptos" w:cs="Aptos" w:eastAsia="Aptos"/>
                <w:b w:val="0"/>
                <w:i/>
                <w:color w:val="2B2B2B"/>
                <w:sz w:val="19"/>
              </w:rPr>
              <w:t>2 — Os programas CED podem realizar-se por iniciativa das câmaras municipais ou mediante proposta de organização de proteção animal a quem a câmara municipal atribua a gestão do programa CED.</w:t>
            </w:r>
          </w:p>
          <w:p>
            <w:pPr>
              <w:spacing w:before="0" w:after="80" w:line="293" w:lineRule="auto"/>
              <w:jc w:val="both"/>
            </w:pPr>
            <w:r>
              <w:rPr>
                <w:rFonts w:ascii="Aptos" w:hAnsi="Aptos" w:cs="Aptos" w:eastAsia="Aptos"/>
                <w:b w:val="0"/>
                <w:i/>
                <w:color w:val="2B2B2B"/>
                <w:sz w:val="19"/>
              </w:rPr>
              <w:t>3 — Deve ser evitada a implementação de programas CED nos parques públicos, nos refúgios de vida selvagem ou outros locais públicos que sirvam de habitat à vida selvagem.</w:t>
            </w:r>
          </w:p>
          <w:p>
            <w:pPr>
              <w:spacing w:before="0" w:after="80" w:line="293" w:lineRule="auto"/>
              <w:jc w:val="both"/>
            </w:pPr>
            <w:r>
              <w:rPr>
                <w:rFonts w:ascii="Aptos" w:hAnsi="Aptos" w:cs="Aptos" w:eastAsia="Aptos"/>
                <w:b w:val="0"/>
                <w:i/>
                <w:color w:val="2B2B2B"/>
                <w:sz w:val="19"/>
              </w:rPr>
              <w:t>4 — A entidade responsável pelo CED deve assegurar: a) A existência de um plano de gestão da colónia, do qual conste a identificação do médico veterinário assistente e das pessoas que na entidade são responsáveis pela execução do programa; b) Que os animais que compõem a colónia são avaliados periodicamente do ponto de vista clínico, de forma a despistar doenças transmissíveis que, casuisticamente, sejam consideradas importantes; c) Que os animais portadores de doenças transmissíveis a outros animais ou a seres humanos são retirados da colónia; d) Que os animais capturados, antes de integrarem a colónia, são entregues nos CRO para verificação da sua aptidão; e) Que os animais capturados são esterilizados e marcados com um pequeno corte na orelha esquerda, registados e identificados eletronicamente, e desparasitados e vacinados contra a raiva ou outras medidas profiláticas obrigatórias ou consideradas no plano de gestão da colónia.</w:t>
            </w:r>
          </w:p>
          <w:p>
            <w:pPr>
              <w:spacing w:before="0" w:after="80" w:line="293" w:lineRule="auto"/>
              <w:jc w:val="both"/>
            </w:pPr>
            <w:r>
              <w:rPr>
                <w:rFonts w:ascii="Aptos" w:hAnsi="Aptos" w:cs="Aptos" w:eastAsia="Aptos"/>
                <w:b w:val="0"/>
                <w:i/>
                <w:color w:val="2B2B2B"/>
                <w:sz w:val="19"/>
              </w:rPr>
              <w:t>5 — A colónia intervencionada será supervisionada pelo médico veterinário municipal, devendo a entidade responsável pelo programa assegurar que são prestados os cuidados de saúde e alimentação adequados aos animais, controlando as saídas ou entradas de novos animais, ou quaisquer outros fatores que perturbem a estabilidade da colónia, a segurança e a tranquilidade pública e da vizinhança, de tudo mantendo registo.</w:t>
            </w:r>
          </w:p>
          <w:p>
            <w:pPr>
              <w:spacing w:before="0" w:after="80" w:line="293" w:lineRule="auto"/>
              <w:jc w:val="both"/>
            </w:pPr>
            <w:r>
              <w:rPr>
                <w:rFonts w:ascii="Aptos" w:hAnsi="Aptos" w:cs="Aptos" w:eastAsia="Aptos"/>
                <w:b w:val="0"/>
                <w:i/>
                <w:color w:val="2B2B2B"/>
                <w:sz w:val="19"/>
              </w:rPr>
              <w:t>6 — A dimensão da colónia de gatos não pode pôr em causa a salubridade, a saúde pública e a segurança de pessoas, animais e bens.</w:t>
            </w:r>
          </w:p>
          <w:p>
            <w:pPr>
              <w:spacing w:before="0" w:after="80" w:line="293" w:lineRule="auto"/>
              <w:jc w:val="both"/>
            </w:pPr>
            <w:r>
              <w:rPr>
                <w:rFonts w:ascii="Aptos" w:hAnsi="Aptos" w:cs="Aptos" w:eastAsia="Aptos"/>
                <w:b w:val="0"/>
                <w:i/>
                <w:color w:val="2B2B2B"/>
                <w:sz w:val="19"/>
              </w:rPr>
              <w:t>7 — Os alojamentos e espaços utilizados pela colónia são mantidos livres de resíduos ou restos de comida, de forma a evitar a proliferação de pragas.</w:t>
            </w:r>
          </w:p>
          <w:p>
            <w:pPr>
              <w:spacing w:before="0" w:after="80" w:line="293" w:lineRule="auto"/>
              <w:jc w:val="both"/>
            </w:pPr>
            <w:r>
              <w:rPr>
                <w:rFonts w:ascii="Aptos" w:hAnsi="Aptos" w:cs="Aptos" w:eastAsia="Aptos"/>
                <w:b w:val="0"/>
                <w:i/>
                <w:color w:val="2B2B2B"/>
                <w:sz w:val="19"/>
              </w:rPr>
              <w:t>8 — As despesas relacionadas com a manutenção de colónias de gatos são da responsabilidade da entidade promotora.</w:t>
            </w:r>
          </w:p>
          <w:p>
            <w:pPr>
              <w:spacing w:before="0" w:after="80" w:line="293" w:lineRule="auto"/>
              <w:jc w:val="both"/>
            </w:pPr>
            <w:r>
              <w:rPr>
                <w:rFonts w:ascii="Aptos" w:hAnsi="Aptos" w:cs="Aptos" w:eastAsia="Aptos"/>
                <w:b w:val="0"/>
                <w:i/>
                <w:color w:val="2B2B2B"/>
                <w:sz w:val="19"/>
              </w:rPr>
              <w:t>9 — Sempre que a câmara municipal verifique que não está cumprido qualquer dos requisitos referidos no n.º 4, pode determinar medidas corretivas ou a suspensão do programa CED em curso e proceder à recolha dos animais para o CRO.</w:t>
            </w:r>
          </w:p>
          <w:p>
            <w:pPr>
              <w:spacing w:before="0" w:after="0" w:line="293" w:lineRule="auto"/>
              <w:jc w:val="both"/>
            </w:pPr>
            <w:r>
              <w:rPr>
                <w:rFonts w:ascii="Aptos" w:hAnsi="Aptos" w:cs="Aptos" w:eastAsia="Aptos"/>
                <w:b w:val="0"/>
                <w:i/>
                <w:color w:val="2B2B2B"/>
                <w:sz w:val="19"/>
              </w:rPr>
              <w:t>10 — O programa a que se refere o presente artigo não é aplicável a cães.</w:t>
            </w:r>
          </w:p>
          <w:p>
            <w:pPr>
              <w:spacing w:before="120" w:after="0" w:line="293" w:lineRule="auto"/>
            </w:pPr>
            <w:r>
              <w:rPr>
                <w:rFonts w:ascii="Aptos" w:hAnsi="Aptos" w:cs="Aptos" w:eastAsia="Aptos"/>
                <w:b w:val="0"/>
                <w:i w:val="0"/>
                <w:color w:val="7C8894"/>
                <w:sz w:val="15"/>
              </w:rPr>
              <w:t>Artigo 9.º da Portaria n.º 146/2017, de 26 de abril, na redação em vigor</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19"/>
              </w:rPr>
              <w:t xml:space="preserve">A Portaria </w:t>
            </w:r>
            <w:r>
              <w:rPr>
                <w:rFonts w:ascii="Aptos" w:hAnsi="Aptos" w:cs="Aptos" w:eastAsia="Aptos"/>
                <w:b/>
                <w:i w:val="0"/>
                <w:color w:val="2B2B2B"/>
                <w:sz w:val="19"/>
              </w:rPr>
              <w:t>mantém-se na redação originária de 2017</w:t>
            </w:r>
            <w:r>
              <w:rPr>
                <w:rFonts w:ascii="Aptos" w:hAnsi="Aptos" w:cs="Aptos" w:eastAsia="Aptos"/>
                <w:b w:val="0"/>
                <w:i w:val="0"/>
                <w:color w:val="2B2B2B"/>
                <w:sz w:val="19"/>
              </w:rPr>
              <w:t>. Não regista qualquer diploma alterante. Dez números e cinco alíneas são todo o regime nacional de um programa que a Estratégia Nacional assume como o destino de toda a população errante até 2030.</w:t>
            </w:r>
          </w:p>
        </w:tc>
      </w:tr>
    </w:tbl>
    <w:p>
      <w:pPr>
        <w:spacing w:before="0" w:after="180" w:line="293" w:lineRule="auto"/>
      </w:pP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4.  </w:t>
      </w:r>
      <w:r>
        <w:rPr>
          <w:rFonts w:ascii="Aptos" w:hAnsi="Aptos" w:cs="Aptos" w:eastAsia="Aptos"/>
          <w:b/>
          <w:i w:val="0"/>
          <w:color w:val="35506B"/>
          <w:sz w:val="27"/>
        </w:rPr>
        <w:t>A revisão que não aconteceu</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Em dezembro de 2021 circulou na Associação Nacional de Municípios Portugueses um projeto de portaria que alterava os artigos 3.º, 5.º, 7.º, 8.º, 9.º, 10.º e 11.º da Portaria n.º 146/2017. O seu preâmbulo enunciava a razão da intervenção.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O período de aplicação desta Portaria já decorrido, bem como as questões que têm vindo a ser colocadas recorrentemente pelas autarquias locais e pelo movimento associativo, vieram demonstrar a necessidade de atualizar diversas normas para a melhor operacionalização das ações previstas neste âmbito.</w:t>
            </w:r>
          </w:p>
          <w:p>
            <w:pPr>
              <w:spacing w:before="120" w:after="0" w:line="293" w:lineRule="auto"/>
            </w:pPr>
            <w:r>
              <w:rPr>
                <w:rFonts w:ascii="Aptos" w:hAnsi="Aptos" w:cs="Aptos" w:eastAsia="Aptos"/>
                <w:b w:val="0"/>
                <w:i w:val="0"/>
                <w:color w:val="7C8894"/>
                <w:sz w:val="15"/>
              </w:rPr>
              <w:t>Preâmbulo do projeto de revisão da Portaria n.º 146/2017, dezembro de 2021</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O que propunha para o artigo 9.º resolvia quase todas as questões inventariadas neste documento.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1644"/>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Matéria</w:t>
            </w:r>
          </w:p>
        </w:tc>
        <w:tc>
          <w:tcPr>
            <w:tcW w:type="dxa" w:w="3912"/>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Projeto de 2021</w:t>
            </w:r>
          </w:p>
        </w:tc>
        <w:tc>
          <w:tcPr>
            <w:tcW w:type="dxa" w:w="3855"/>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Texto em vigor</w:t>
            </w:r>
          </w:p>
        </w:tc>
      </w:tr>
      <w:tr>
        <w:trPr>
          <w:cantSplit/>
        </w:trPr>
        <w:tc>
          <w:tcPr>
            <w:tcW w:type="dxa" w:w="164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Natureza</w:t>
            </w:r>
          </w:p>
        </w:tc>
        <w:tc>
          <w:tcPr>
            <w:tcW w:type="dxa" w:w="391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«as câmaras municipais […] </w:t>
            </w:r>
            <w:r>
              <w:rPr>
                <w:rFonts w:ascii="Aptos" w:hAnsi="Aptos" w:cs="Aptos" w:eastAsia="Aptos"/>
                <w:b/>
                <w:i w:val="0"/>
                <w:color w:val="2B2B2B"/>
                <w:sz w:val="17"/>
              </w:rPr>
              <w:t>devem executar</w:t>
            </w:r>
            <w:r>
              <w:rPr>
                <w:rFonts w:ascii="Aptos" w:hAnsi="Aptos" w:cs="Aptos" w:eastAsia="Aptos"/>
                <w:b w:val="0"/>
                <w:i w:val="0"/>
                <w:color w:val="2B2B2B"/>
                <w:sz w:val="17"/>
              </w:rPr>
              <w:t xml:space="preserve"> programas de captura, esterilização e devolução à origem (CED) em colónias de gatos»</w:t>
            </w:r>
          </w:p>
        </w:tc>
        <w:tc>
          <w:tcPr>
            <w:tcW w:type="dxa" w:w="385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w:t>
            </w:r>
            <w:r>
              <w:rPr>
                <w:rFonts w:ascii="Aptos" w:hAnsi="Aptos" w:cs="Aptos" w:eastAsia="Aptos"/>
                <w:b/>
                <w:i w:val="0"/>
                <w:color w:val="2B2B2B"/>
                <w:sz w:val="17"/>
              </w:rPr>
              <w:t>podem</w:t>
            </w:r>
            <w:r>
              <w:rPr>
                <w:rFonts w:ascii="Aptos" w:hAnsi="Aptos" w:cs="Aptos" w:eastAsia="Aptos"/>
                <w:b w:val="0"/>
                <w:i w:val="0"/>
                <w:color w:val="2B2B2B"/>
                <w:sz w:val="17"/>
              </w:rPr>
              <w:t xml:space="preserve"> as câmaras municipais […] </w:t>
            </w:r>
            <w:r>
              <w:rPr>
                <w:rFonts w:ascii="Aptos" w:hAnsi="Aptos" w:cs="Aptos" w:eastAsia="Aptos"/>
                <w:b/>
                <w:i w:val="0"/>
                <w:color w:val="2B2B2B"/>
                <w:sz w:val="17"/>
              </w:rPr>
              <w:t>autorizar</w:t>
            </w:r>
            <w:r>
              <w:rPr>
                <w:rFonts w:ascii="Aptos" w:hAnsi="Aptos" w:cs="Aptos" w:eastAsia="Aptos"/>
                <w:b w:val="0"/>
                <w:i w:val="0"/>
                <w:color w:val="2B2B2B"/>
                <w:sz w:val="17"/>
              </w:rPr>
              <w:t xml:space="preserve"> a manutenção […] de colónias de gatos»</w:t>
            </w:r>
          </w:p>
        </w:tc>
      </w:tr>
      <w:tr>
        <w:trPr>
          <w:cantSplit/>
        </w:trPr>
        <w:tc>
          <w:tcPr>
            <w:tcW w:type="dxa" w:w="164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Promotores</w:t>
            </w:r>
          </w:p>
        </w:tc>
        <w:tc>
          <w:tcPr>
            <w:tcW w:type="dxa" w:w="391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w:t>
            </w:r>
            <w:r>
              <w:rPr>
                <w:rFonts w:ascii="Aptos" w:hAnsi="Aptos" w:cs="Aptos" w:eastAsia="Aptos"/>
                <w:b/>
                <w:i w:val="0"/>
                <w:color w:val="2B2B2B"/>
                <w:sz w:val="17"/>
              </w:rPr>
              <w:t>devem realizar-se</w:t>
            </w:r>
            <w:r>
              <w:rPr>
                <w:rFonts w:ascii="Aptos" w:hAnsi="Aptos" w:cs="Aptos" w:eastAsia="Aptos"/>
                <w:b w:val="0"/>
                <w:i w:val="0"/>
                <w:color w:val="2B2B2B"/>
                <w:sz w:val="17"/>
              </w:rPr>
              <w:t xml:space="preserve"> por iniciativa das câmaras municipais ou mediante proposta de associações zoófilas legalmente constituídas e de organizações não governamentais de ambiente que visem a proteção animal»</w:t>
            </w:r>
          </w:p>
        </w:tc>
        <w:tc>
          <w:tcPr>
            <w:tcW w:type="dxa" w:w="385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«podem realizar-se por iniciativa das câmaras municipais ou mediante proposta de organização de proteção animal»</w:t>
            </w:r>
          </w:p>
        </w:tc>
      </w:tr>
      <w:tr>
        <w:trPr>
          <w:cantSplit/>
        </w:trPr>
        <w:tc>
          <w:tcPr>
            <w:tcW w:type="dxa" w:w="164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Entidade responsável</w:t>
            </w:r>
          </w:p>
        </w:tc>
        <w:tc>
          <w:tcPr>
            <w:tcW w:type="dxa" w:w="391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«A entidade responsável pelo programa CED </w:t>
            </w:r>
            <w:r>
              <w:rPr>
                <w:rFonts w:ascii="Aptos" w:hAnsi="Aptos" w:cs="Aptos" w:eastAsia="Aptos"/>
                <w:b/>
                <w:i w:val="0"/>
                <w:color w:val="2B2B2B"/>
                <w:sz w:val="17"/>
              </w:rPr>
              <w:t>é a câmara municipal, através do respetivo Centro de Recolha Oficial</w:t>
            </w:r>
            <w:r>
              <w:rPr>
                <w:rFonts w:ascii="Aptos" w:hAnsi="Aptos" w:cs="Aptos" w:eastAsia="Aptos"/>
                <w:b w:val="0"/>
                <w:i w:val="0"/>
                <w:color w:val="2B2B2B"/>
                <w:sz w:val="17"/>
              </w:rPr>
              <w:t>»</w:t>
            </w:r>
          </w:p>
        </w:tc>
        <w:tc>
          <w:tcPr>
            <w:tcW w:type="dxa" w:w="385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identificada — «A entidade responsável pelo CED deve assegurar»</w:t>
            </w:r>
          </w:p>
        </w:tc>
      </w:tr>
      <w:tr>
        <w:trPr>
          <w:cantSplit/>
        </w:trPr>
        <w:tc>
          <w:tcPr>
            <w:tcW w:type="dxa" w:w="164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Plano de gestão</w:t>
            </w:r>
          </w:p>
        </w:tc>
        <w:tc>
          <w:tcPr>
            <w:tcW w:type="dxa" w:w="391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Passaria a incluir a identificação </w:t>
            </w:r>
            <w:r>
              <w:rPr>
                <w:rFonts w:ascii="Aptos" w:hAnsi="Aptos" w:cs="Aptos" w:eastAsia="Aptos"/>
                <w:b/>
                <w:i w:val="0"/>
                <w:color w:val="2B2B2B"/>
                <w:sz w:val="17"/>
              </w:rPr>
              <w:t>dos cuidadores</w:t>
            </w:r>
            <w:r>
              <w:rPr>
                <w:rFonts w:ascii="Aptos" w:hAnsi="Aptos" w:cs="Aptos" w:eastAsia="Aptos"/>
                <w:b w:val="0"/>
                <w:i w:val="0"/>
                <w:color w:val="2B2B2B"/>
                <w:sz w:val="17"/>
              </w:rPr>
              <w:t xml:space="preserve"> e o registo dos animais capturados, libertados, realojados, adotados, eutanasiados, tratados ou encontrados mortos, com causa de morte</w:t>
            </w:r>
          </w:p>
        </w:tc>
        <w:tc>
          <w:tcPr>
            <w:tcW w:type="dxa" w:w="385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Só identifica o médico veterinário assistente e os responsáveis pela execução</w:t>
            </w:r>
          </w:p>
        </w:tc>
      </w:tr>
      <w:tr>
        <w:trPr>
          <w:cantSplit/>
        </w:trPr>
        <w:tc>
          <w:tcPr>
            <w:tcW w:type="dxa" w:w="164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Verificação de aptidão</w:t>
            </w:r>
          </w:p>
        </w:tc>
        <w:tc>
          <w:tcPr>
            <w:tcW w:type="dxa" w:w="391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Al. d) </w:t>
            </w:r>
            <w:r>
              <w:rPr>
                <w:rFonts w:ascii="Aptos" w:hAnsi="Aptos" w:cs="Aptos" w:eastAsia="Aptos"/>
                <w:b/>
                <w:i w:val="0"/>
                <w:color w:val="2B2B2B"/>
                <w:sz w:val="17"/>
              </w:rPr>
              <w:t>revogada</w:t>
            </w:r>
          </w:p>
        </w:tc>
        <w:tc>
          <w:tcPr>
            <w:tcW w:type="dxa" w:w="385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Al. d) — entrega no CRO para verificação da aptidão</w:t>
            </w:r>
          </w:p>
        </w:tc>
      </w:tr>
      <w:tr>
        <w:trPr>
          <w:cantSplit/>
        </w:trPr>
        <w:tc>
          <w:tcPr>
            <w:tcW w:type="dxa" w:w="164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Registo SIAC</w:t>
            </w:r>
          </w:p>
        </w:tc>
        <w:tc>
          <w:tcPr>
            <w:tcW w:type="dxa" w:w="391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«registados </w:t>
            </w:r>
            <w:r>
              <w:rPr>
                <w:rFonts w:ascii="Aptos" w:hAnsi="Aptos" w:cs="Aptos" w:eastAsia="Aptos"/>
                <w:b/>
                <w:i w:val="0"/>
                <w:color w:val="2B2B2B"/>
                <w:sz w:val="17"/>
              </w:rPr>
              <w:t>em nome da câmara municipal</w:t>
            </w:r>
            <w:r>
              <w:rPr>
                <w:rFonts w:ascii="Aptos" w:hAnsi="Aptos" w:cs="Aptos" w:eastAsia="Aptos"/>
                <w:b w:val="0"/>
                <w:i w:val="0"/>
                <w:color w:val="2B2B2B"/>
                <w:sz w:val="17"/>
              </w:rPr>
              <w:t xml:space="preserve"> responsável pelo programa CED»</w:t>
            </w:r>
          </w:p>
        </w:tc>
        <w:tc>
          <w:tcPr>
            <w:tcW w:type="dxa" w:w="385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«registados e identificados eletronicamente» — sem indicar o titular</w:t>
            </w:r>
          </w:p>
        </w:tc>
      </w:tr>
      <w:tr>
        <w:trPr>
          <w:cantSplit/>
        </w:trPr>
        <w:tc>
          <w:tcPr>
            <w:tcW w:type="dxa" w:w="164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Habitats de vida selvagem</w:t>
            </w:r>
          </w:p>
        </w:tc>
        <w:tc>
          <w:tcPr>
            <w:tcW w:type="dxa" w:w="391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Programas nesses locais «devem ser </w:t>
            </w:r>
            <w:r>
              <w:rPr>
                <w:rFonts w:ascii="Aptos" w:hAnsi="Aptos" w:cs="Aptos" w:eastAsia="Aptos"/>
                <w:b/>
                <w:i w:val="0"/>
                <w:color w:val="2B2B2B"/>
                <w:sz w:val="17"/>
              </w:rPr>
              <w:t>articulados com o ICNF I.P.</w:t>
            </w:r>
            <w:r>
              <w:rPr>
                <w:rFonts w:ascii="Aptos" w:hAnsi="Aptos" w:cs="Aptos" w:eastAsia="Aptos"/>
                <w:b w:val="0"/>
                <w:i w:val="0"/>
                <w:color w:val="2B2B2B"/>
                <w:sz w:val="17"/>
              </w:rPr>
              <w:t>»</w:t>
            </w:r>
          </w:p>
        </w:tc>
        <w:tc>
          <w:tcPr>
            <w:tcW w:type="dxa" w:w="385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«Deve ser evitada a implementação»</w:t>
            </w:r>
          </w:p>
        </w:tc>
      </w:tr>
      <w:tr>
        <w:trPr>
          <w:cantSplit/>
        </w:trPr>
        <w:tc>
          <w:tcPr>
            <w:tcW w:type="dxa" w:w="164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Cães</w:t>
            </w:r>
          </w:p>
        </w:tc>
        <w:tc>
          <w:tcPr>
            <w:tcW w:type="dxa" w:w="391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Admitia esterilização «excecional e transitoriamente, por falta de capacidade de alojamento no CRO» de cães errantes; n.º 10 revogado</w:t>
            </w:r>
          </w:p>
        </w:tc>
        <w:tc>
          <w:tcPr>
            <w:tcW w:type="dxa" w:w="385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10 — «não é aplicável a cães»</w:t>
            </w:r>
          </w:p>
        </w:tc>
      </w:tr>
    </w:tbl>
    <w:p>
      <w:pPr>
        <w:spacing w:before="4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20"/>
              </w:rPr>
              <w:t>O projeto nunca foi publicado.</w:t>
            </w:r>
            <w:r>
              <w:rPr>
                <w:rFonts w:ascii="Aptos" w:hAnsi="Aptos" w:cs="Aptos" w:eastAsia="Aptos"/>
                <w:b w:val="0"/>
                <w:i w:val="0"/>
                <w:color w:val="2B2B2B"/>
                <w:sz w:val="20"/>
              </w:rPr>
              <w:t xml:space="preserve"> Cinco anos depois, o texto em vigor é o de 2017. A leitura da tabela acima permite uma conclusão incómoda: as lacunas apontadas neste documento não são descobertas recentes nem construções da doutrina. </w:t>
            </w:r>
            <w:r>
              <w:rPr>
                <w:rFonts w:ascii="Aptos" w:hAnsi="Aptos" w:cs="Aptos" w:eastAsia="Aptos"/>
                <w:b/>
                <w:i w:val="0"/>
                <w:color w:val="2B2B2B"/>
                <w:sz w:val="20"/>
              </w:rPr>
              <w:t>Foram identificadas pela própria Administração e a correção ficou por fazer.</w:t>
            </w:r>
          </w:p>
        </w:tc>
      </w:tr>
    </w:tbl>
    <w:p>
      <w:pPr>
        <w:spacing w:before="0" w:after="180" w:line="293" w:lineRule="auto"/>
      </w:pP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5.  </w:t>
      </w:r>
      <w:r>
        <w:rPr>
          <w:rFonts w:ascii="Aptos" w:hAnsi="Aptos" w:cs="Aptos" w:eastAsia="Aptos"/>
          <w:b/>
          <w:i w:val="0"/>
          <w:color w:val="35506B"/>
          <w:sz w:val="27"/>
        </w:rPr>
        <w:t>Lacunas reconhecidas pela Administração</w:t>
      </w:r>
    </w:p>
    <w:p>
      <w:pPr>
        <w:keepNext/>
        <w:pBdr>
          <w:bottom w:val="single" w:sz="4" w:space="1" w:color="D7DEE5"/>
        </w:pBdr>
        <w:spacing w:before="0" w:after="160" w:line="40" w:lineRule="exact"/>
      </w:pPr>
    </w:p>
    <w:p>
      <w:pPr>
        <w:keepNext/>
        <w:spacing w:before="260" w:after="80" w:line="293" w:lineRule="auto"/>
      </w:pPr>
      <w:r>
        <w:rPr>
          <w:rFonts w:ascii="Aptos" w:hAnsi="Aptos" w:cs="Aptos" w:eastAsia="Aptos"/>
          <w:b/>
          <w:i w:val="0"/>
          <w:color w:val="7C8894"/>
          <w:sz w:val="21"/>
        </w:rPr>
        <w:t xml:space="preserve">5.1  </w:t>
      </w:r>
      <w:r>
        <w:rPr>
          <w:rFonts w:ascii="Aptos" w:hAnsi="Aptos" w:cs="Aptos" w:eastAsia="Aptos"/>
          <w:b/>
          <w:i w:val="0"/>
          <w:color w:val="35506B"/>
          <w:sz w:val="21"/>
        </w:rPr>
        <w:t>O estatuto de cuidador de colónia não está definido</w:t>
      </w:r>
    </w:p>
    <w:p>
      <w:pPr>
        <w:spacing w:before="0" w:after="140" w:line="293" w:lineRule="auto"/>
        <w:jc w:val="both"/>
      </w:pPr>
      <w:r>
        <w:rPr>
          <w:rFonts w:ascii="Aptos" w:hAnsi="Aptos" w:cs="Aptos" w:eastAsia="Aptos"/>
          <w:b w:val="0"/>
          <w:i w:val="0"/>
          <w:color w:val="2B2B2B"/>
          <w:sz w:val="20"/>
        </w:rPr>
        <w:t>A Portaria impõe deveres a uma figura que não define. O n.º 5 do artigo 9.º manda assegurar «os cuidados de saúde e alimentação adequados aos animais» — obrigação que, na prática, recai sobre o cuidador. A Estratégia Nacional assinala o problema sem rodeios.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A Portaria n.º 146/2017, de 26 de abril, refere expressamente que os cuidadores têm de prestar "os cuidados de saúde e alimentação adequados aos animais". Acontece que não está definido o conceito de "cuidador da colónia" nem existem recomendações sobre as boas práticas nas atividades desempenhadas por este.</w:t>
            </w:r>
          </w:p>
          <w:p>
            <w:pPr>
              <w:spacing w:before="120" w:after="0" w:line="293" w:lineRule="auto"/>
            </w:pPr>
            <w:r>
              <w:rPr>
                <w:rFonts w:ascii="Aptos" w:hAnsi="Aptos" w:cs="Aptos" w:eastAsia="Aptos"/>
                <w:b w:val="0"/>
                <w:i w:val="0"/>
                <w:color w:val="7C8894"/>
                <w:sz w:val="15"/>
              </w:rPr>
              <w:t>Estratégia Nacional para os Animais Errantes, p. 35</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Não se define quem é, como se designa, que direitos tem, perante quem responde, nem o que sucede quando cessa funções. Alguns municípios criaram, sem base habilitante que o preveja, cartões de identificação de cuidador.</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1 — É proibida a alimentação de animais vadios ou errantes em quaisquer espaços públicos ou em espaços privados confinantes com a via pública, exceto nas colónias de gatos intervencionadas pelos programas CED, por parte de cidadãos nomeados para o efeito (portadores de um cartão de identificação de cuidador), desde que nos locais se cumpram as medidas de higiene, nomeadamente para prevenir a chamada de animais oportunistas.</w:t>
            </w:r>
          </w:p>
          <w:p>
            <w:pPr>
              <w:spacing w:before="120" w:after="0" w:line="293" w:lineRule="auto"/>
            </w:pPr>
            <w:r>
              <w:rPr>
                <w:rFonts w:ascii="Aptos" w:hAnsi="Aptos" w:cs="Aptos" w:eastAsia="Aptos"/>
                <w:b w:val="0"/>
                <w:i w:val="0"/>
                <w:color w:val="7C8894"/>
                <w:sz w:val="15"/>
              </w:rPr>
              <w:t>N.º 1 do artigo 8.º do Regulamento de Saúde e Bem-Estar Animal do Município de Setúbal</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Observação.</w:t>
            </w:r>
            <w:r>
              <w:rPr>
                <w:rFonts w:ascii="Aptos" w:hAnsi="Aptos" w:cs="Aptos" w:eastAsia="Aptos"/>
                <w:b w:val="0"/>
                <w:i w:val="0"/>
                <w:color w:val="2B2B2B"/>
                <w:sz w:val="19"/>
              </w:rPr>
              <w:t xml:space="preserve"> Impor deveres a uma categoria indefinida de pessoas, e fazer depender delas o cumprimento de uma obrigação legal do município, é construção frágil. O cartão de cuidador é uma solução administrativa sensata para um problema que a lei não resolveu — mas nada diz que direitos confere ao seu portador, nem o protege se a colónia for suspensa.</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5.2  </w:t>
      </w:r>
      <w:r>
        <w:rPr>
          <w:rFonts w:ascii="Aptos" w:hAnsi="Aptos" w:cs="Aptos" w:eastAsia="Aptos"/>
          <w:b/>
          <w:i w:val="0"/>
          <w:color w:val="35506B"/>
          <w:sz w:val="21"/>
        </w:rPr>
        <w:t>As famílias de acolhimento temporário não estão reguladas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Importa criar mecanismos para uma participação mais ativa da comunidade que não passe somente pelo voluntariado nos abrigos ou ações das organizações não-governamentais (ONG). As famílias de acolhimento temporário de animais de companhia (FAT), os cuidadores informais de animais ou o apadrinhamento de animais dos abrigos constituem soluções, não só de promoção do bem-estar animal, mas também de envolvimento e sensibilização da população. Contudo, não se encontram regulados o conceito de "família de acolhimento temporário" de animais de companhia ou o estatuto de cuidador por forma a resultar clara a articulação entre estes e as entidades competentes. Estas figuras, apesar de não serem entidades formais, terão de ser consideradas na rede de resposta, atendendo ao seu papel na gestão de animais errantes, desde logo pelos seus conhecimentos do terreno e das realidades locais mas também pelo seu inquestionável contributo.</w:t>
            </w:r>
          </w:p>
          <w:p>
            <w:pPr>
              <w:spacing w:before="120" w:after="0" w:line="293" w:lineRule="auto"/>
            </w:pPr>
            <w:r>
              <w:rPr>
                <w:rFonts w:ascii="Aptos" w:hAnsi="Aptos" w:cs="Aptos" w:eastAsia="Aptos"/>
                <w:b w:val="0"/>
                <w:i w:val="0"/>
                <w:color w:val="7C8894"/>
                <w:sz w:val="15"/>
              </w:rPr>
              <w:t>Estratégia Nacional para os Animais Errantes, pp. 30-31</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A mesma Estratégia inscreve como prioridades de investimento a «Criação de uma rede de Famílias de Acolhimento Temporário» e a «Elaboração de um manual das normas e procedimentos para o alojamento temporário de animais (FAT)». Em 26 de agosto de 2024 o PAN apresentou iniciativa parlamentar para criar o estatuto, assente no reconhecimento formal do contributo das FAT, na criação de uma rede e em apoio material, financeiro e veterinário.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Esta é a lacuna com consequências mais imediatas para o cidadão. Manuais municipais recomendam expressamente o recurso a famílias de acolhimento temporário — «que podem ser pessoas físicas ou colectivas» — para os animais que devem ser encaminhados para adoção. </w:t>
            </w:r>
            <w:r>
              <w:rPr>
                <w:rFonts w:ascii="Aptos" w:hAnsi="Aptos" w:cs="Aptos" w:eastAsia="Aptos"/>
                <w:b/>
                <w:i w:val="0"/>
                <w:color w:val="2B2B2B"/>
                <w:sz w:val="20"/>
              </w:rPr>
              <w:t>Recomenda-se uma figura que a lei não reconhece, não define e não protege.</w:t>
            </w:r>
            <w:r>
              <w:rPr>
                <w:rFonts w:ascii="Aptos" w:hAnsi="Aptos" w:cs="Aptos" w:eastAsia="Aptos"/>
                <w:b w:val="0"/>
                <w:i w:val="0"/>
                <w:color w:val="2B2B2B"/>
                <w:sz w:val="20"/>
              </w:rPr>
              <w:t xml:space="preserve"> Quem a pratica arrisca ser tratado, pela aplicação do conceito legal de detentor, como responsável definitivo pelos animais que acolheu.</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5.3  </w:t>
      </w:r>
      <w:r>
        <w:rPr>
          <w:rFonts w:ascii="Aptos" w:hAnsi="Aptos" w:cs="Aptos" w:eastAsia="Aptos"/>
          <w:b/>
          <w:i w:val="0"/>
          <w:color w:val="35506B"/>
          <w:sz w:val="21"/>
        </w:rPr>
        <w:t>Não se sabe quantas colónias existem nem onde</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Até à data, os programas CED para gatos encontram-se previstos na Lei n.º 27/2016, de 23 de agosto, regulamentada pela Portaria n.º 146/2017, de 26 de abril. Apesar de ser obrigatória a identificação eletrónica dos gatos inseridos em programas CED, não é possível aferir o número de animais nem o número e localização das colónias intervencionadas ao abrigo destes programas. Importará também associar cada colónia ao seu cuidador para garantir a alimentação e abeberamento destes animais de acordo com as boas práticas, bem como realizar a georreferenciação das mesmas para garantir a proteção destes animais em cenários de acidente grave ou catástrofe.</w:t>
            </w:r>
          </w:p>
          <w:p>
            <w:pPr>
              <w:spacing w:before="120" w:after="0" w:line="293" w:lineRule="auto"/>
            </w:pPr>
            <w:r>
              <w:rPr>
                <w:rFonts w:ascii="Aptos" w:hAnsi="Aptos" w:cs="Aptos" w:eastAsia="Aptos"/>
                <w:b w:val="0"/>
                <w:i w:val="0"/>
                <w:color w:val="7C8894"/>
                <w:sz w:val="15"/>
              </w:rPr>
              <w:t>Estratégia Nacional para os Animais Errantes, p. 35</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Observação.</w:t>
            </w:r>
            <w:r>
              <w:rPr>
                <w:rFonts w:ascii="Aptos" w:hAnsi="Aptos" w:cs="Aptos" w:eastAsia="Aptos"/>
                <w:b w:val="0"/>
                <w:i w:val="0"/>
                <w:color w:val="2B2B2B"/>
                <w:sz w:val="19"/>
              </w:rPr>
              <w:t xml:space="preserve"> Sem cadastro não há avaliação de eficácia possível. A meta que a própria Estratégia fixa — que em 2030 a população de animais errantes «se resuma aos gatos integrados em programas de Capturar-Esterilizar-Devolver» — não é verificável com os instrumentos existentes. E a obrigação de registo da al. e) do n.º 4 do artigo 9.º, cumprida individualmente, não gera informação agregada sobre colónias porque o SIAC não tem campo para tal.</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5.4  </w:t>
      </w:r>
      <w:r>
        <w:rPr>
          <w:rFonts w:ascii="Aptos" w:hAnsi="Aptos" w:cs="Aptos" w:eastAsia="Aptos"/>
          <w:b/>
          <w:i w:val="0"/>
          <w:color w:val="35506B"/>
          <w:sz w:val="21"/>
        </w:rPr>
        <w:t>Não existe guia nacional de boas práticas, e o programa não cobre o território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A elaboração de um guia de boas práticas para estes programas, que inclua um plano sanitário e um registo individual e da colónia adequado ao contexto específico, permitirá uniformizar procedimentos e garantir a salvaguarda da sanidade e do bem-estar dos animais que os integram. Os programas CED não estão instituídos em todo o território, o que limita a sua eficácia.</w:t>
            </w:r>
          </w:p>
          <w:p>
            <w:pPr>
              <w:spacing w:before="120" w:after="0" w:line="293" w:lineRule="auto"/>
            </w:pPr>
            <w:r>
              <w:rPr>
                <w:rFonts w:ascii="Aptos" w:hAnsi="Aptos" w:cs="Aptos" w:eastAsia="Aptos"/>
                <w:b w:val="0"/>
                <w:i w:val="0"/>
                <w:color w:val="7C8894"/>
                <w:sz w:val="15"/>
              </w:rPr>
              <w:t>Estratégia Nacional para os Animais Errantes, p. 35</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Na ausência de guia nacional, cada município constrói o seu instrumento. O Município de Setúbal aprovou em 2020 um Manual de Gestão de Colónias Felinas; o Município do Porto executa o programa desde 2019 com prática própria; o Município de Salvaterra de Magos aprovou um regulamento autónomo do programa CED. As soluções divergem em pontos essenciais, designadamente no critério de aptidão e no titular do registo.</w:t>
      </w:r>
    </w:p>
    <w:p>
      <w:pPr>
        <w:keepNext/>
        <w:spacing w:before="260" w:after="80" w:line="293" w:lineRule="auto"/>
      </w:pPr>
      <w:r>
        <w:rPr>
          <w:rFonts w:ascii="Aptos" w:hAnsi="Aptos" w:cs="Aptos" w:eastAsia="Aptos"/>
          <w:b/>
          <w:i w:val="0"/>
          <w:color w:val="7C8894"/>
          <w:sz w:val="21"/>
        </w:rPr>
        <w:t xml:space="preserve">5.5  </w:t>
      </w:r>
      <w:r>
        <w:rPr>
          <w:rFonts w:ascii="Aptos" w:hAnsi="Aptos" w:cs="Aptos" w:eastAsia="Aptos"/>
          <w:b/>
          <w:i w:val="0"/>
          <w:color w:val="35506B"/>
          <w:sz w:val="21"/>
        </w:rPr>
        <w:t>Regulamentos municipais que proíbem alimentar errantes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Alguns membros da sociedade alimentam cães e gatos de rua e tal deve ser considerado no planeamento das ações. Um requisito essencial para programas CED é a garantia de fontes de alimento. Existem regulamentos ou posturas camarárias que proíbem alimentar animais errantes. Contudo, para os gatos de rua, assilvestrados ou errantes está prevista a implementação de programas CED pelos municípios, nos termos do art.º 4.º da Lei n.º 27/2016, de 23 de agosto […]</w:t>
            </w:r>
          </w:p>
          <w:p>
            <w:pPr>
              <w:spacing w:before="120" w:after="0" w:line="293" w:lineRule="auto"/>
            </w:pPr>
            <w:r>
              <w:rPr>
                <w:rFonts w:ascii="Aptos" w:hAnsi="Aptos" w:cs="Aptos" w:eastAsia="Aptos"/>
                <w:b w:val="0"/>
                <w:i w:val="0"/>
                <w:color w:val="7C8894"/>
                <w:sz w:val="15"/>
              </w:rPr>
              <w:t>Estratégia Nacional para os Animais Errantes, p. 35</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Observação.</w:t>
            </w:r>
            <w:r>
              <w:rPr>
                <w:rFonts w:ascii="Aptos" w:hAnsi="Aptos" w:cs="Aptos" w:eastAsia="Aptos"/>
                <w:b w:val="0"/>
                <w:i w:val="0"/>
                <w:color w:val="2B2B2B"/>
                <w:sz w:val="19"/>
              </w:rPr>
              <w:t xml:space="preserve"> A Estratégia está a sinalizar, com contenção diplomática, que há regulamentos municipais cuja legalidade é duvidosa à luz do artigo 4.º da Lei. O ponto não é académico: casos de cidadãos processados por alimentar gatos de rua têm chegado à imprensa nacional, e a articulação entre a proibição regulamentar e o dever legal de assegurar o CED nunca foi resolvida por norma nem por decisão conhecida.</w:t>
            </w:r>
          </w:p>
        </w:tc>
      </w:tr>
    </w:tbl>
    <w:p>
      <w:pPr>
        <w:spacing w:before="0" w:after="180" w:line="293" w:lineRule="auto"/>
      </w:pP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6.  </w:t>
      </w:r>
      <w:r>
        <w:rPr>
          <w:rFonts w:ascii="Aptos" w:hAnsi="Aptos" w:cs="Aptos" w:eastAsia="Aptos"/>
          <w:b/>
          <w:i w:val="0"/>
          <w:color w:val="35506B"/>
          <w:sz w:val="27"/>
        </w:rPr>
        <w:t>Zonas cinzentas de regime</w:t>
      </w:r>
    </w:p>
    <w:p>
      <w:pPr>
        <w:keepNext/>
        <w:pBdr>
          <w:bottom w:val="single" w:sz="4" w:space="1" w:color="D7DEE5"/>
        </w:pBdr>
        <w:spacing w:before="0" w:after="160" w:line="40" w:lineRule="exact"/>
      </w:pPr>
    </w:p>
    <w:p>
      <w:pPr>
        <w:keepNext/>
        <w:spacing w:before="260" w:after="80" w:line="293" w:lineRule="auto"/>
      </w:pPr>
      <w:r>
        <w:rPr>
          <w:rFonts w:ascii="Aptos" w:hAnsi="Aptos" w:cs="Aptos" w:eastAsia="Aptos"/>
          <w:b/>
          <w:i w:val="0"/>
          <w:color w:val="7C8894"/>
          <w:sz w:val="21"/>
        </w:rPr>
        <w:t xml:space="preserve">6.1  </w:t>
      </w:r>
      <w:r>
        <w:rPr>
          <w:rFonts w:ascii="Aptos" w:hAnsi="Aptos" w:cs="Aptos" w:eastAsia="Aptos"/>
          <w:b/>
          <w:i w:val="0"/>
          <w:color w:val="35506B"/>
          <w:sz w:val="21"/>
        </w:rPr>
        <w:t>Faculdade ou dever?</w:t>
      </w:r>
    </w:p>
    <w:p>
      <w:pPr>
        <w:spacing w:before="0" w:after="140" w:line="293" w:lineRule="auto"/>
        <w:jc w:val="both"/>
      </w:pPr>
      <w:r>
        <w:rPr>
          <w:rFonts w:ascii="Aptos" w:hAnsi="Aptos" w:cs="Aptos" w:eastAsia="Aptos"/>
          <w:b w:val="0"/>
          <w:i w:val="0"/>
          <w:color w:val="2B2B2B"/>
          <w:sz w:val="20"/>
        </w:rPr>
        <w:t>O artigo 4.º da Lei diz que o Estado «assegura» a concretização de programas CED. O artigo 9.º da Portaria diz que as câmaras «podem […] autorizar». O projeto de 2021 dizia «devem executar». A contradição entre a lei habilitante e o regulamento nunca foi resolvida.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Observação.</w:t>
            </w:r>
            <w:r>
              <w:rPr>
                <w:rFonts w:ascii="Aptos" w:hAnsi="Aptos" w:cs="Aptos" w:eastAsia="Aptos"/>
                <w:b w:val="0"/>
                <w:i w:val="0"/>
                <w:color w:val="2B2B2B"/>
                <w:sz w:val="19"/>
              </w:rPr>
              <w:t xml:space="preserve"> É a fratura central de todo o regime. Enquanto for faculdade municipal, não há direito do cidadão nem dever exigível, e a autoridade nacional pode declarar ilegal um critério de exclusão sem poder impor a execução do programa. É também a origem do ponto 5.4: um programa facultativo não cobre o território.</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6.2  </w:t>
      </w:r>
      <w:r>
        <w:rPr>
          <w:rFonts w:ascii="Aptos" w:hAnsi="Aptos" w:cs="Aptos" w:eastAsia="Aptos"/>
          <w:b/>
          <w:i w:val="0"/>
          <w:color w:val="35506B"/>
          <w:sz w:val="21"/>
        </w:rPr>
        <w:t>Quem é a «entidade responsável pelo CED»?</w:t>
      </w:r>
    </w:p>
    <w:p>
      <w:pPr>
        <w:spacing w:before="0" w:after="140" w:line="293" w:lineRule="auto"/>
        <w:jc w:val="both"/>
      </w:pPr>
      <w:r>
        <w:rPr>
          <w:rFonts w:ascii="Aptos" w:hAnsi="Aptos" w:cs="Aptos" w:eastAsia="Aptos"/>
          <w:b w:val="0"/>
          <w:i w:val="0"/>
          <w:color w:val="2B2B2B"/>
          <w:sz w:val="20"/>
        </w:rPr>
        <w:t>O n.º 4 do artigo 9.º impõe cinco deveres à «entidade responsável pelo CED» sem a identificar. O n.º 2 admite dois promotores possíveis. O n.º 8 atribui as despesas à «entidade promotora» — termo distinto, não definido, e que pode ou não coincidir com a anterior.</w:t>
      </w:r>
    </w:p>
    <w:p>
      <w:pPr>
        <w:spacing w:before="0" w:after="140" w:line="293" w:lineRule="auto"/>
        <w:jc w:val="both"/>
      </w:pPr>
      <w:r>
        <w:rPr>
          <w:rFonts w:ascii="Aptos" w:hAnsi="Aptos" w:cs="Aptos" w:eastAsia="Aptos"/>
          <w:b w:val="0"/>
          <w:i w:val="0"/>
          <w:color w:val="2B2B2B"/>
          <w:sz w:val="20"/>
        </w:rPr>
        <w:t>O Município de Setúbal antecipou a solução do projeto de 2021, assumindo-se como entidade responsável e suprimindo a alternativa da proposta por organização de proteção animal.</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5 — O programa CED realiza-se por iniciativa do Município.</w:t>
            </w:r>
          </w:p>
          <w:p>
            <w:pPr>
              <w:spacing w:before="0" w:after="0" w:line="293" w:lineRule="auto"/>
              <w:jc w:val="both"/>
            </w:pPr>
            <w:r>
              <w:rPr>
                <w:rFonts w:ascii="Aptos" w:hAnsi="Aptos" w:cs="Aptos" w:eastAsia="Aptos"/>
                <w:b w:val="0"/>
                <w:i/>
                <w:color w:val="2B2B2B"/>
                <w:sz w:val="19"/>
              </w:rPr>
              <w:t>7 — O Município assegura: […] d) Que os animais capturados, antes de integrarem a colónia, são recolhidos no CROAC para verificação da sua aptidão;</w:t>
            </w:r>
          </w:p>
          <w:p>
            <w:pPr>
              <w:spacing w:before="120" w:after="0" w:line="293" w:lineRule="auto"/>
            </w:pPr>
            <w:r>
              <w:rPr>
                <w:rFonts w:ascii="Aptos" w:hAnsi="Aptos" w:cs="Aptos" w:eastAsia="Aptos"/>
                <w:b w:val="0"/>
                <w:i w:val="0"/>
                <w:color w:val="7C8894"/>
                <w:sz w:val="15"/>
              </w:rPr>
              <w:t>N.ºs 5 e 7 do artigo 59.º do Regulamento de Saúde e Bem-Estar Animal do Município de Setúbal</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Na prática instalou-se um terceiro modelo, que nenhuma norma prevê, descrito no manual municipal de Setúbal.</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Pode também ocorrer a gestão partilhada das colónias em que algumas tarefas estão a cargo das associações (como a captura, devolução e manutenção da colónia) e outras da Câmara (como a esterilização, vacinação, identificação e controlo de saúde dos gatos).</w:t>
            </w:r>
          </w:p>
          <w:p>
            <w:pPr>
              <w:spacing w:before="120" w:after="0" w:line="293" w:lineRule="auto"/>
            </w:pPr>
            <w:r>
              <w:rPr>
                <w:rFonts w:ascii="Aptos" w:hAnsi="Aptos" w:cs="Aptos" w:eastAsia="Aptos"/>
                <w:b w:val="0"/>
                <w:i w:val="0"/>
                <w:color w:val="7C8894"/>
                <w:sz w:val="15"/>
              </w:rPr>
              <w:t>Manual de Gestão de Colónias Felinas do Município de Setúbal, 2020</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6.3  </w:t>
      </w:r>
      <w:r>
        <w:rPr>
          <w:rFonts w:ascii="Aptos" w:hAnsi="Aptos" w:cs="Aptos" w:eastAsia="Aptos"/>
          <w:b/>
          <w:i w:val="0"/>
          <w:color w:val="35506B"/>
          <w:sz w:val="21"/>
        </w:rPr>
        <w:t>Em nome de quem se registam os animais no SIAC?</w:t>
      </w:r>
    </w:p>
    <w:p>
      <w:pPr>
        <w:spacing w:before="0" w:after="140" w:line="293" w:lineRule="auto"/>
        <w:jc w:val="both"/>
      </w:pPr>
      <w:r>
        <w:rPr>
          <w:rFonts w:ascii="Aptos" w:hAnsi="Aptos" w:cs="Aptos" w:eastAsia="Aptos"/>
          <w:b w:val="0"/>
          <w:i w:val="0"/>
          <w:color w:val="2B2B2B"/>
          <w:sz w:val="20"/>
        </w:rPr>
        <w:t>A al. e) do n.º 4 do artigo 9.º exige que os animais capturados sejam «registados e identificados eletronicamente». Não diz em nome de quem. O projeto de 2021 di-lo-ia: «em nome da câmara municipal responsável pelo programa CED».</w:t>
      </w:r>
    </w:p>
    <w:p>
      <w:pPr>
        <w:spacing w:before="0" w:after="140" w:line="293" w:lineRule="auto"/>
        <w:jc w:val="both"/>
      </w:pPr>
      <w:r>
        <w:rPr>
          <w:rFonts w:ascii="Aptos" w:hAnsi="Aptos" w:cs="Aptos" w:eastAsia="Aptos"/>
          <w:b w:val="0"/>
          <w:i w:val="0"/>
          <w:color w:val="2B2B2B"/>
          <w:sz w:val="20"/>
        </w:rPr>
        <w:t>A prática consolidou-se nesse sentido. O Município do Porto declarou, em verificação jornalística sobre a titularidade dos gatos de colónia, que os microchips são «registados em nome da CMP com a observação da identificação da colónia e da associação zoófila responsável pela sua gestão», acrescentando-se que «as colónias legalmente reconhecidas são geridas pelas associações de proteção animal que as acompanham e que garantem a alimentação e cuidados dos animais».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Observação.</w:t>
            </w:r>
            <w:r>
              <w:rPr>
                <w:rFonts w:ascii="Aptos" w:hAnsi="Aptos" w:cs="Aptos" w:eastAsia="Aptos"/>
                <w:b w:val="0"/>
                <w:i w:val="0"/>
                <w:color w:val="2B2B2B"/>
                <w:sz w:val="19"/>
              </w:rPr>
              <w:t xml:space="preserve"> Há aqui uma incongruência conceptual que merece ser enfrentada. O SIAC regista </w:t>
            </w:r>
            <w:r>
              <w:rPr>
                <w:rFonts w:ascii="Aptos" w:hAnsi="Aptos" w:cs="Aptos" w:eastAsia="Aptos"/>
                <w:b/>
                <w:i w:val="0"/>
                <w:color w:val="2B2B2B"/>
                <w:sz w:val="19"/>
              </w:rPr>
              <w:t>titulares</w:t>
            </w:r>
            <w:r>
              <w:rPr>
                <w:rFonts w:ascii="Aptos" w:hAnsi="Aptos" w:cs="Aptos" w:eastAsia="Aptos"/>
                <w:b w:val="0"/>
                <w:i w:val="0"/>
                <w:color w:val="2B2B2B"/>
                <w:sz w:val="19"/>
              </w:rPr>
              <w:t>, e a al. f) do artigo 3.º do Decreto-Lei n.º 82/2019 define titular como «o proprietário ou o possuidor […] cuja posse faça presumir a propriedade». Registar um gato feral em nome da câmara significa fazer a autarquia presumida proprietária de um animal que vive na rua e que não controla. É uma ficção operacional útil — resolve a rastreabilidade e a isenção de taxa do n.º 2 do artigo 17.º — mas sem apoio na definição legal, e com consequências não estudadas no plano da responsabilidade civil.</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6.4  </w:t>
      </w:r>
      <w:r>
        <w:rPr>
          <w:rFonts w:ascii="Aptos" w:hAnsi="Aptos" w:cs="Aptos" w:eastAsia="Aptos"/>
          <w:b/>
          <w:i w:val="0"/>
          <w:color w:val="35506B"/>
          <w:sz w:val="21"/>
        </w:rPr>
        <w:t>Responsabilidade civil por danos causados pelos animais da colónia</w:t>
      </w:r>
    </w:p>
    <w:p>
      <w:pPr>
        <w:spacing w:before="0" w:after="140" w:line="293" w:lineRule="auto"/>
        <w:jc w:val="both"/>
      </w:pPr>
      <w:r>
        <w:rPr>
          <w:rFonts w:ascii="Aptos" w:hAnsi="Aptos" w:cs="Aptos" w:eastAsia="Aptos"/>
          <w:b w:val="0"/>
          <w:i w:val="0"/>
          <w:color w:val="2B2B2B"/>
          <w:sz w:val="20"/>
        </w:rPr>
        <w:t>A Portaria é omissa. Aplica-se o regime geral, cuja jurisprudência fixa que o dever de vigilância decorre do controlo de facto sobre o animal — podendo recair sobre o comodatário, o depositário ou o cuidador, e não necessariamente sobre o proprietário. Há presunção de culpa.</w:t>
      </w:r>
    </w:p>
    <w:p>
      <w:pPr>
        <w:spacing w:before="0" w:after="140" w:line="293" w:lineRule="auto"/>
        <w:jc w:val="both"/>
      </w:pPr>
      <w:r>
        <w:rPr>
          <w:rFonts w:ascii="Aptos" w:hAnsi="Aptos" w:cs="Aptos" w:eastAsia="Aptos"/>
          <w:b w:val="0"/>
          <w:i w:val="0"/>
          <w:color w:val="2B2B2B"/>
          <w:sz w:val="20"/>
        </w:rPr>
        <w:t>A questão foi invocada no debate político como razão de prudência.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Temos vindo a acompanhar questões práticas e de responsabilidade civil que recomendam prudência no alargamento dos programas CED a cães.</w:t>
            </w:r>
          </w:p>
          <w:p>
            <w:pPr>
              <w:spacing w:before="120" w:after="0" w:line="293" w:lineRule="auto"/>
            </w:pPr>
            <w:r>
              <w:rPr>
                <w:rFonts w:ascii="Aptos" w:hAnsi="Aptos" w:cs="Aptos" w:eastAsia="Aptos"/>
                <w:b w:val="0"/>
                <w:i w:val="0"/>
                <w:color w:val="7C8894"/>
                <w:sz w:val="15"/>
              </w:rPr>
              <w:t>Resposta da CDU ao questionário da Maratona pelos Animais, março de 2024</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Observação.</w:t>
            </w:r>
            <w:r>
              <w:rPr>
                <w:rFonts w:ascii="Aptos" w:hAnsi="Aptos" w:cs="Aptos" w:eastAsia="Aptos"/>
                <w:b w:val="0"/>
                <w:i w:val="0"/>
                <w:color w:val="2B2B2B"/>
                <w:sz w:val="19"/>
              </w:rPr>
              <w:t xml:space="preserve"> Se o registo no SIAC é em nome da câmara e a guarda de facto pertence ao cuidador, quem responde pelos danos? Não se conhece decisão sobre o ponto. O risco recai previsivelmente sobre a pessoa singular que alimenta e vigia a colónia — precisamente aquela cujo estatuto a lei não define e que não dispõe de seguro nem de cobertura institucional.</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6.5  </w:t>
      </w:r>
      <w:r>
        <w:rPr>
          <w:rFonts w:ascii="Aptos" w:hAnsi="Aptos" w:cs="Aptos" w:eastAsia="Aptos"/>
          <w:b/>
          <w:i w:val="0"/>
          <w:color w:val="35506B"/>
          <w:sz w:val="21"/>
        </w:rPr>
        <w:t>O critério feral ou sociável: quem decide, com que método</w:t>
      </w:r>
    </w:p>
    <w:p>
      <w:pPr>
        <w:spacing w:before="0" w:after="140" w:line="293" w:lineRule="auto"/>
        <w:jc w:val="both"/>
      </w:pPr>
      <w:r>
        <w:rPr>
          <w:rFonts w:ascii="Aptos" w:hAnsi="Aptos" w:cs="Aptos" w:eastAsia="Aptos"/>
          <w:b w:val="0"/>
          <w:i w:val="0"/>
          <w:color w:val="2B2B2B"/>
          <w:sz w:val="20"/>
        </w:rPr>
        <w:t>A única norma é a al. d) do n.º 4 do artigo 9.º: entrega no CRO «para verificação da sua aptidão». Sem critério, sem escala de avaliação, sem prazo, sem fundamentação exigível e sem impugnação. A doutrina administrativa preenche o vazio, e fá-lo de forma exigente.</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Avaliar se um gato é ou não silvestre é muito importante para perceber qual a melhor solução para garantir o seu bem-estar. Se for silvestre, permitir-lhe viver no seu próprio território com os seus companheiros de colónia será a melhor solução. […] Sempre que possível, os animais adultos dóceis e as crias que ainda estejam em idade de socialização são retirados das colónias e encaminhados para adoção.</w:t>
            </w:r>
          </w:p>
          <w:p>
            <w:pPr>
              <w:spacing w:before="120" w:after="0" w:line="293" w:lineRule="auto"/>
            </w:pPr>
            <w:r>
              <w:rPr>
                <w:rFonts w:ascii="Aptos" w:hAnsi="Aptos" w:cs="Aptos" w:eastAsia="Aptos"/>
                <w:b w:val="0"/>
                <w:i w:val="0"/>
                <w:color w:val="7C8894"/>
                <w:sz w:val="15"/>
              </w:rPr>
              <w:t>Estratégia Nacional para os Animais Errantes, p. 34</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Em todos os modelos, desde logo, há que assumir que uma colónia felina não é um repositório de qualquer tipo de gato errante, nem serve para colmatar a inexistência de gatil municipal ou de abrigo privado, mas antes é o habitat de - e exclusivamente - gatos ferais.</w:t>
            </w:r>
          </w:p>
          <w:p>
            <w:pPr>
              <w:spacing w:before="120" w:after="0" w:line="293" w:lineRule="auto"/>
            </w:pPr>
            <w:r>
              <w:rPr>
                <w:rFonts w:ascii="Aptos" w:hAnsi="Aptos" w:cs="Aptos" w:eastAsia="Aptos"/>
                <w:b w:val="0"/>
                <w:i w:val="0"/>
                <w:color w:val="7C8894"/>
                <w:sz w:val="15"/>
              </w:rPr>
              <w:t>Manual de Gestão de Colónias Felinas do Município de Setúbal, 2020</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Trata-se de uma decisão que determina se um animal vive numa casa ou na rua, tomada sem procedimento regulado e sem fundamentação exigível. </w:t>
            </w:r>
            <w:r>
              <w:rPr>
                <w:rFonts w:ascii="Aptos" w:hAnsi="Aptos" w:cs="Aptos" w:eastAsia="Aptos"/>
                <w:b/>
                <w:i w:val="0"/>
                <w:color w:val="2B2B2B"/>
                <w:sz w:val="20"/>
              </w:rPr>
              <w:t>É, materialmente, o ato mais gravoso de todo o programa — e é o menos regulado.</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6.6  </w:t>
      </w:r>
      <w:r>
        <w:rPr>
          <w:rFonts w:ascii="Aptos" w:hAnsi="Aptos" w:cs="Aptos" w:eastAsia="Aptos"/>
          <w:b/>
          <w:i w:val="0"/>
          <w:color w:val="35506B"/>
          <w:sz w:val="21"/>
        </w:rPr>
        <w:t>Crias: quatro prazos que não se articulam</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1814"/>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Marco</w:t>
            </w:r>
          </w:p>
        </w:tc>
        <w:tc>
          <w:tcPr>
            <w:tcW w:type="dxa" w:w="362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Fonte</w:t>
            </w:r>
          </w:p>
        </w:tc>
        <w:tc>
          <w:tcPr>
            <w:tcW w:type="dxa" w:w="3912"/>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Consequência</w:t>
            </w:r>
          </w:p>
        </w:tc>
      </w:tr>
      <w:tr>
        <w:trPr>
          <w:cantSplit/>
        </w:trPr>
        <w:tc>
          <w:tcPr>
            <w:tcW w:type="dxa" w:w="181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Idade de socialização</w:t>
            </w:r>
          </w:p>
        </w:tc>
        <w:tc>
          <w:tcPr>
            <w:tcW w:type="dxa" w:w="36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Estratégia Nacional, p. 34 — sem definição normativa</w:t>
            </w:r>
          </w:p>
        </w:tc>
        <w:tc>
          <w:tcPr>
            <w:tcW w:type="dxa" w:w="391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As crias «são retiradas das colónias e encaminhadas para adoção»</w:t>
            </w:r>
          </w:p>
        </w:tc>
      </w:tr>
      <w:tr>
        <w:trPr>
          <w:cantSplit/>
        </w:trPr>
        <w:tc>
          <w:tcPr>
            <w:tcW w:type="dxa" w:w="181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120 dias</w:t>
            </w:r>
          </w:p>
        </w:tc>
        <w:tc>
          <w:tcPr>
            <w:tcW w:type="dxa" w:w="36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1 do art.º 5.º do DL n.º 82/2019</w:t>
            </w:r>
          </w:p>
        </w:tc>
        <w:tc>
          <w:tcPr>
            <w:tcW w:type="dxa" w:w="391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Prazo para identificação e registo no SIAC</w:t>
            </w:r>
          </w:p>
        </w:tc>
      </w:tr>
      <w:tr>
        <w:trPr>
          <w:cantSplit/>
        </w:trPr>
        <w:tc>
          <w:tcPr>
            <w:tcW w:type="dxa" w:w="181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Menos de 6 meses</w:t>
            </w:r>
          </w:p>
        </w:tc>
        <w:tc>
          <w:tcPr>
            <w:tcW w:type="dxa" w:w="36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6 do art.º 8.º da Portaria n.º 146/2017</w:t>
            </w:r>
          </w:p>
        </w:tc>
        <w:tc>
          <w:tcPr>
            <w:tcW w:type="dxa" w:w="391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Podem ser encaminhados para adoção antes de esterilizados</w:t>
            </w:r>
          </w:p>
        </w:tc>
      </w:tr>
      <w:tr>
        <w:trPr>
          <w:cantSplit/>
        </w:trPr>
        <w:tc>
          <w:tcPr>
            <w:tcW w:type="dxa" w:w="181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8 meses</w:t>
            </w:r>
          </w:p>
        </w:tc>
        <w:tc>
          <w:tcPr>
            <w:tcW w:type="dxa" w:w="36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6 do art.º 8.º da Portaria n.º 146/2017</w:t>
            </w:r>
          </w:p>
        </w:tc>
        <w:tc>
          <w:tcPr>
            <w:tcW w:type="dxa" w:w="391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Prazo-limite para a esterilização, a assegurar pelo novo detentor</w:t>
            </w:r>
          </w:p>
        </w:tc>
      </w:tr>
    </w:tbl>
    <w:p>
      <w:pPr>
        <w:spacing w:before="4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Observação.</w:t>
            </w:r>
            <w:r>
              <w:rPr>
                <w:rFonts w:ascii="Aptos" w:hAnsi="Aptos" w:cs="Aptos" w:eastAsia="Aptos"/>
                <w:b w:val="0"/>
                <w:i w:val="0"/>
                <w:color w:val="2B2B2B"/>
                <w:sz w:val="19"/>
              </w:rPr>
              <w:t xml:space="preserve"> Os prazos não conversam entre si. Um animal de cinco meses está fora do prazo de registo, dentro da janela de adoção sem esterilização e a três meses do prazo de esterilização. Nenhuma norma diz quem assegura o quê em cada janela, nem o que sucede quando o animal permanece sob guarda de terceiro que não é o seu titular registado.</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6.7  </w:t>
      </w:r>
      <w:r>
        <w:rPr>
          <w:rFonts w:ascii="Aptos" w:hAnsi="Aptos" w:cs="Aptos" w:eastAsia="Aptos"/>
          <w:b/>
          <w:i w:val="0"/>
          <w:color w:val="35506B"/>
          <w:sz w:val="21"/>
        </w:rPr>
        <w:t>Colónias em propriedade privada</w:t>
      </w:r>
    </w:p>
    <w:p>
      <w:pPr>
        <w:spacing w:before="0" w:after="140" w:line="293" w:lineRule="auto"/>
        <w:jc w:val="both"/>
      </w:pPr>
      <w:r>
        <w:rPr>
          <w:rFonts w:ascii="Aptos" w:hAnsi="Aptos" w:cs="Aptos" w:eastAsia="Aptos"/>
          <w:b w:val="0"/>
          <w:i w:val="0"/>
          <w:color w:val="2B2B2B"/>
          <w:sz w:val="20"/>
        </w:rPr>
        <w:t>O n.º 3 do artigo 9.º só afasta «parques públicos, refúgios de vida selvagem ou outros locais públicos que sirvam de habitat à vida selvagem». Sobre terrenos privados a Portaria é inteiramente omissa — não permite nem proíbe. Os manuais municipais admitem-nos.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Para colmatar a inexistência de espaço físico da entidade promotora, pública ou privada, ou a sobrelotação desse espaço, e assim acolherem-se os gatos que devem ser encaminhados para adopção, há que recorrer a soluções alternativas nomeadamente a Famílias de Acolhimento Temporário (FAT), que podem ser pessoas físicas ou colectivas, a santuários ou refúgios, instalados em espaços privados ou camarários.</w:t>
            </w:r>
          </w:p>
          <w:p>
            <w:pPr>
              <w:spacing w:before="120" w:after="0" w:line="293" w:lineRule="auto"/>
            </w:pPr>
            <w:r>
              <w:rPr>
                <w:rFonts w:ascii="Aptos" w:hAnsi="Aptos" w:cs="Aptos" w:eastAsia="Aptos"/>
                <w:b w:val="0"/>
                <w:i w:val="0"/>
                <w:color w:val="7C8894"/>
                <w:sz w:val="15"/>
              </w:rPr>
              <w:t>Manual de Gestão de Colónias Felinas do Município de Setúbal, 2020</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Observação.</w:t>
            </w:r>
            <w:r>
              <w:rPr>
                <w:rFonts w:ascii="Aptos" w:hAnsi="Aptos" w:cs="Aptos" w:eastAsia="Aptos"/>
                <w:b w:val="0"/>
                <w:i w:val="0"/>
                <w:color w:val="2B2B2B"/>
                <w:sz w:val="19"/>
              </w:rPr>
              <w:t xml:space="preserve"> Falta regular a colónia em terreno privado com consentimento do proprietário, e faltam os direitos do vizinho que a não quer. É o terreno onde nascem os conflitos que chegam regularmente à imprensa e, por vezes, aos tribunais.</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6.8  </w:t>
      </w:r>
      <w:r>
        <w:rPr>
          <w:rFonts w:ascii="Aptos" w:hAnsi="Aptos" w:cs="Aptos" w:eastAsia="Aptos"/>
          <w:b/>
          <w:i w:val="0"/>
          <w:color w:val="35506B"/>
          <w:sz w:val="21"/>
        </w:rPr>
        <w:t>Devolução a local que não garante segurança</w:t>
      </w:r>
    </w:p>
    <w:p>
      <w:pPr>
        <w:spacing w:before="0" w:after="140" w:line="293" w:lineRule="auto"/>
        <w:jc w:val="both"/>
      </w:pPr>
      <w:r>
        <w:rPr>
          <w:rFonts w:ascii="Aptos" w:hAnsi="Aptos" w:cs="Aptos" w:eastAsia="Aptos"/>
          <w:b w:val="0"/>
          <w:i w:val="0"/>
          <w:color w:val="2B2B2B"/>
          <w:sz w:val="20"/>
        </w:rPr>
        <w:t>O n.º 1 do artigo 9.º manda devolver «ao local de origem», sem qualquer juízo sobre a idoneidade desse local. O manual municipal de Setúbal descreve as consequências.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E surgem denúncias […] de dizimação de colónias cujos gatos esterilizados terminam mortos por atropelamento ou por envenenamento, porque devolvidos a um local que não garantia a sua integridade física ou vida.</w:t>
            </w:r>
          </w:p>
          <w:p>
            <w:pPr>
              <w:spacing w:before="120" w:after="0" w:line="293" w:lineRule="auto"/>
            </w:pPr>
            <w:r>
              <w:rPr>
                <w:rFonts w:ascii="Aptos" w:hAnsi="Aptos" w:cs="Aptos" w:eastAsia="Aptos"/>
                <w:b w:val="0"/>
                <w:i w:val="0"/>
                <w:color w:val="7C8894"/>
                <w:sz w:val="15"/>
              </w:rPr>
              <w:t>Manual de Gestão de Colónias Felinas do Município de Setúbal, 2020</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6.9  </w:t>
      </w:r>
      <w:r>
        <w:rPr>
          <w:rFonts w:ascii="Aptos" w:hAnsi="Aptos" w:cs="Aptos" w:eastAsia="Aptos"/>
          <w:b/>
          <w:i w:val="0"/>
          <w:color w:val="35506B"/>
          <w:sz w:val="21"/>
        </w:rPr>
        <w:t>Suspensão e recolha sem garantias procedimentais</w:t>
      </w:r>
    </w:p>
    <w:p>
      <w:pPr>
        <w:spacing w:before="0" w:after="140" w:line="293" w:lineRule="auto"/>
        <w:jc w:val="both"/>
      </w:pPr>
      <w:r>
        <w:rPr>
          <w:rFonts w:ascii="Aptos" w:hAnsi="Aptos" w:cs="Aptos" w:eastAsia="Aptos"/>
          <w:b w:val="0"/>
          <w:i w:val="0"/>
          <w:color w:val="2B2B2B"/>
          <w:sz w:val="20"/>
        </w:rPr>
        <w:t>O n.º 9 do artigo 9.º permite à câmara «determinar medidas corretivas ou a suspensão do programa CED em curso e proceder à recolha dos animais para o CRO» sempre que verifique incumprimento de qualquer dos requisitos do n.º 4. Não se prevê audiência prévia, prazo de sanação, nem destino assegurado aos animais recolhidos, que entram no regime dos quinze dias e da esterilização obrigatória.</w:t>
      </w: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7.  </w:t>
      </w:r>
      <w:r>
        <w:rPr>
          <w:rFonts w:ascii="Aptos" w:hAnsi="Aptos" w:cs="Aptos" w:eastAsia="Aptos"/>
          <w:b/>
          <w:i w:val="0"/>
          <w:color w:val="35506B"/>
          <w:sz w:val="27"/>
        </w:rPr>
        <w:t>Conflitos entre políticas públicas</w:t>
      </w:r>
    </w:p>
    <w:p>
      <w:pPr>
        <w:keepNext/>
        <w:pBdr>
          <w:bottom w:val="single" w:sz="4" w:space="1" w:color="D7DEE5"/>
        </w:pBdr>
        <w:spacing w:before="0" w:after="160" w:line="40" w:lineRule="exact"/>
      </w:pPr>
    </w:p>
    <w:p>
      <w:pPr>
        <w:keepNext/>
        <w:spacing w:before="260" w:after="80" w:line="293" w:lineRule="auto"/>
      </w:pPr>
      <w:r>
        <w:rPr>
          <w:rFonts w:ascii="Aptos" w:hAnsi="Aptos" w:cs="Aptos" w:eastAsia="Aptos"/>
          <w:b/>
          <w:i w:val="0"/>
          <w:color w:val="7C8894"/>
          <w:sz w:val="21"/>
        </w:rPr>
        <w:t xml:space="preserve">7.1  </w:t>
      </w:r>
      <w:r>
        <w:rPr>
          <w:rFonts w:ascii="Aptos" w:hAnsi="Aptos" w:cs="Aptos" w:eastAsia="Aptos"/>
          <w:b/>
          <w:i w:val="0"/>
          <w:color w:val="35506B"/>
          <w:sz w:val="21"/>
        </w:rPr>
        <w:t>CED e conservação da natureza</w:t>
      </w:r>
    </w:p>
    <w:p>
      <w:pPr>
        <w:spacing w:before="0" w:after="140" w:line="293" w:lineRule="auto"/>
        <w:jc w:val="both"/>
      </w:pPr>
      <w:r>
        <w:rPr>
          <w:rFonts w:ascii="Aptos" w:hAnsi="Aptos" w:cs="Aptos" w:eastAsia="Aptos"/>
          <w:b w:val="0"/>
          <w:i w:val="0"/>
          <w:color w:val="2B2B2B"/>
          <w:sz w:val="20"/>
        </w:rPr>
        <w:t>A Estratégia Nacional assume simultaneamente o problema e a ignorância sobre a sua dimensão.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Desconhece-se qual o real impacto dos cães e gatos na biodiversidade. Contudo, atendendo a que são conhecidas as tipologias desse impacto nomeadamente a predação e a hibridização, deverão ser elaboradas […]</w:t>
            </w:r>
          </w:p>
          <w:p>
            <w:pPr>
              <w:spacing w:before="120" w:after="0" w:line="293" w:lineRule="auto"/>
            </w:pPr>
            <w:r>
              <w:rPr>
                <w:rFonts w:ascii="Aptos" w:hAnsi="Aptos" w:cs="Aptos" w:eastAsia="Aptos"/>
                <w:b w:val="0"/>
                <w:i w:val="0"/>
                <w:color w:val="7C8894"/>
                <w:sz w:val="15"/>
              </w:rPr>
              <w:t>Estratégia Nacional para os Animais Errantes, capítulo sobre redução do impacto na biodiversidade</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Do lado da conservação, a Sociedade Portuguesa para o Estudo das Aves documenta a predação por gatos como ameaça às aves marinhas e instalou emissores ultrassónicos em colónias de cagarra na ilha do Corvo para afastar gatos, identificando a predação como uma das principais causas de mortalidade das crias.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Observação.</w:t>
            </w:r>
            <w:r>
              <w:rPr>
                <w:rFonts w:ascii="Aptos" w:hAnsi="Aptos" w:cs="Aptos" w:eastAsia="Aptos"/>
                <w:b w:val="0"/>
                <w:i w:val="0"/>
                <w:color w:val="2B2B2B"/>
                <w:sz w:val="19"/>
              </w:rPr>
              <w:t xml:space="preserve"> O único ponto de contacto normativo entre as duas políticas é o n.º 3 do artigo 9.º, que se limita a dizer que o CED «deve ser evitado» em habitats de vida selvagem. O projeto de 2021 era mais exigente — mandava articular com o ICNF — e não foi publicado. Nas ilhas, onde o conflito é agudo, não existe regra específica.</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7.2  </w:t>
      </w:r>
      <w:r>
        <w:rPr>
          <w:rFonts w:ascii="Aptos" w:hAnsi="Aptos" w:cs="Aptos" w:eastAsia="Aptos"/>
          <w:b/>
          <w:i w:val="0"/>
          <w:color w:val="35506B"/>
          <w:sz w:val="21"/>
        </w:rPr>
        <w:t>Dispersão e reversão da tutela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1247"/>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Data</w:t>
            </w:r>
          </w:p>
        </w:tc>
        <w:tc>
          <w:tcPr>
            <w:tcW w:type="dxa" w:w="3175"/>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Ato</w:t>
            </w:r>
          </w:p>
        </w:tc>
        <w:tc>
          <w:tcPr>
            <w:tcW w:type="dxa" w:w="4932"/>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Efeito</w:t>
            </w:r>
          </w:p>
        </w:tc>
      </w:tr>
      <w:tr>
        <w:trPr>
          <w:cantSplit/>
        </w:trPr>
        <w:tc>
          <w:tcPr>
            <w:tcW w:type="dxa" w:w="124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2020-2021</w:t>
            </w:r>
          </w:p>
        </w:tc>
        <w:tc>
          <w:tcPr>
            <w:tcW w:type="dxa" w:w="317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27-A/2020 e DL n.º 54/2021; RCM n.º 78/2021</w:t>
            </w:r>
          </w:p>
        </w:tc>
        <w:tc>
          <w:tcPr>
            <w:tcW w:type="dxa" w:w="493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Bem-estar dos animais de companhia, incluindo errantes, transita para o ICNF, sob o Ministério do Ambiente</w:t>
            </w:r>
          </w:p>
        </w:tc>
      </w:tr>
      <w:tr>
        <w:trPr>
          <w:cantSplit/>
        </w:trPr>
        <w:tc>
          <w:tcPr>
            <w:tcW w:type="dxa" w:w="124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25.6.2021</w:t>
            </w:r>
          </w:p>
        </w:tc>
        <w:tc>
          <w:tcPr>
            <w:tcW w:type="dxa" w:w="317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Decreto Regulamentar n.º 3/2021</w:t>
            </w:r>
          </w:p>
        </w:tc>
        <w:tc>
          <w:tcPr>
            <w:tcW w:type="dxa" w:w="493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Cria o Provedor do Animal</w:t>
            </w:r>
          </w:p>
        </w:tc>
      </w:tr>
      <w:tr>
        <w:trPr>
          <w:cantSplit/>
        </w:trPr>
        <w:tc>
          <w:tcPr>
            <w:tcW w:type="dxa" w:w="124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2023</w:t>
            </w:r>
          </w:p>
        </w:tc>
        <w:tc>
          <w:tcPr>
            <w:tcW w:type="dxa" w:w="317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Estratégia Nacional para os Animais Errantes</w:t>
            </w:r>
          </w:p>
        </w:tc>
        <w:tc>
          <w:tcPr>
            <w:tcW w:type="dxa" w:w="493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Elaborada pelo ICNF; consulta pública de 19.7 a 30.8.2023</w:t>
            </w:r>
          </w:p>
        </w:tc>
      </w:tr>
      <w:tr>
        <w:trPr>
          <w:cantSplit/>
        </w:trPr>
        <w:tc>
          <w:tcPr>
            <w:tcW w:type="dxa" w:w="124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7.4.2025</w:t>
            </w:r>
          </w:p>
        </w:tc>
        <w:tc>
          <w:tcPr>
            <w:tcW w:type="dxa" w:w="317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Decreto-Lei n.º 63/2025</w:t>
            </w:r>
          </w:p>
        </w:tc>
        <w:tc>
          <w:tcPr>
            <w:tcW w:type="dxa" w:w="493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Competências regressam à DGAV, com efeitos a </w:t>
            </w:r>
            <w:r>
              <w:rPr>
                <w:rFonts w:ascii="Aptos" w:hAnsi="Aptos" w:cs="Aptos" w:eastAsia="Aptos"/>
                <w:b/>
                <w:i w:val="0"/>
                <w:color w:val="2B2B2B"/>
                <w:sz w:val="17"/>
              </w:rPr>
              <w:t>1 de julho de 2025</w:t>
            </w:r>
          </w:p>
        </w:tc>
      </w:tr>
    </w:tbl>
    <w:p>
      <w:pPr>
        <w:spacing w:before="40" w:after="180" w:line="293" w:lineRule="auto"/>
      </w:pPr>
    </w:p>
    <w:p>
      <w:pPr>
        <w:spacing w:before="0" w:after="140" w:line="293" w:lineRule="auto"/>
        <w:jc w:val="both"/>
      </w:pPr>
      <w:r>
        <w:rPr>
          <w:rFonts w:ascii="Aptos" w:hAnsi="Aptos" w:cs="Aptos" w:eastAsia="Aptos"/>
          <w:b w:val="0"/>
          <w:i w:val="0"/>
          <w:color w:val="2B2B2B"/>
          <w:sz w:val="20"/>
        </w:rPr>
        <w:t>A Associação Portuguesa de Médicos Veterinários Especialistas em Animais de Companhia pronunciou-se com dureza sobre a dispersão.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Como já manifestámos em comunicados públicos anteriores, a APMVEAC discordou da retirada de competências no que concerne à proteção e bem-estar animal da Direção Geral de Alimentação e Veterinária (DGAV). De resto, manifestamos o nosso total desacordo de qualquer proposta que disperse a tutela das questões relacionadas com os animais domésticos. Essa dispersão só fragiliza a proteção dos animais já que a saúde física e o bem-estar e, por consequência a sua proteção, são indissociáveis. Somos da opinião de que a separação da sua tutela levará inevitavelmente a graves danos para os animais.</w:t>
            </w:r>
          </w:p>
          <w:p>
            <w:pPr>
              <w:spacing w:before="120" w:after="0" w:line="293" w:lineRule="auto"/>
            </w:pPr>
            <w:r>
              <w:rPr>
                <w:rFonts w:ascii="Aptos" w:hAnsi="Aptos" w:cs="Aptos" w:eastAsia="Aptos"/>
                <w:b w:val="0"/>
                <w:i w:val="0"/>
                <w:color w:val="7C8894"/>
                <w:sz w:val="15"/>
              </w:rPr>
              <w:t>Parecer da APMVEAC sobre a proposta de Estratégia Nacional para os Animais Errantes, setembro de 2023</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Observação.</w:t>
            </w:r>
            <w:r>
              <w:rPr>
                <w:rFonts w:ascii="Aptos" w:hAnsi="Aptos" w:cs="Aptos" w:eastAsia="Aptos"/>
                <w:b w:val="0"/>
                <w:i w:val="0"/>
                <w:color w:val="2B2B2B"/>
                <w:sz w:val="19"/>
              </w:rPr>
              <w:t xml:space="preserve"> Cinco anos de instabilidade orgânica explicam, em boa medida, por que a revisão da Portaria ficou por publicar e por que a Estratégia não teve seguimento normativo. A competência mudou de ministério duas vezes no período em que a revisão estava pronta.</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7.3  </w:t>
      </w:r>
      <w:r>
        <w:rPr>
          <w:rFonts w:ascii="Aptos" w:hAnsi="Aptos" w:cs="Aptos" w:eastAsia="Aptos"/>
          <w:b/>
          <w:i w:val="0"/>
          <w:color w:val="35506B"/>
          <w:sz w:val="21"/>
        </w:rPr>
        <w:t>A legislação como parte do problema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O presente enquadramento legal é parte integrante do problema dos animais errantes, com diplomas dispersos, falta de fiscalização e medidas de difícil implementação. Nenhuma estratégia que vise abordar a problemática dos animais errantes pode ser eficaz sem uma revisão profunda do quadro normativo da proteção animal em Portugal.</w:t>
            </w:r>
          </w:p>
          <w:p>
            <w:pPr>
              <w:spacing w:before="120" w:after="0" w:line="293" w:lineRule="auto"/>
            </w:pPr>
            <w:r>
              <w:rPr>
                <w:rFonts w:ascii="Aptos" w:hAnsi="Aptos" w:cs="Aptos" w:eastAsia="Aptos"/>
                <w:b w:val="0"/>
                <w:i w:val="0"/>
                <w:color w:val="7C8894"/>
                <w:sz w:val="15"/>
              </w:rPr>
              <w:t>Parecer da APMVEAC, setembro de 2023</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A APMVEAC acrescentou que as organizações profissionais da medicina veterinária não foram consultadas na elaboração da proposta, considerando «incompreensível que a tutela não as tenha consultado diretamente em tão importante proposta», e solicitou ser ouvida em conjunto com a Ordem dos Médicos Veterinários, o Sindicato Nacional dos Médicos Veterinários, a ANVETEM e a SPCV.</w:t>
      </w:r>
    </w:p>
    <w:p>
      <w:pPr>
        <w:spacing w:before="0" w:after="140" w:line="293" w:lineRule="auto"/>
        <w:jc w:val="both"/>
      </w:pPr>
      <w:r>
        <w:rPr>
          <w:rFonts w:ascii="Aptos" w:hAnsi="Aptos" w:cs="Aptos" w:eastAsia="Aptos"/>
          <w:b w:val="0"/>
          <w:i w:val="0"/>
          <w:color w:val="2B2B2B"/>
          <w:sz w:val="20"/>
        </w:rPr>
        <w:t>O diagnóstico oficial anterior tinha ido no mesmo sentido. O Grupo de Trabalho para o Bem-Estar Animal, ao avaliar a implementação da Lei n.º 27/2016, registou que a lei «além de supressão de algumas das lacunas geradas pela Lei n.º 69/2014, de 29 de agosto, adicionou outras», e apurou, por inquérito às entidades, que a principal dificuldade associada à captura de animais errantes é a dificuldade de alojamento e que o principal constrangimento na gestão e construção de alojamentos é o financiamento. Entre as recomendações constam «Reforçar a implementação do programa CED», «Alargar a implementação de programas CED», «Rever as normas associadas ao programa CED» e «Clarificar e uniformizar conceitos».</w:t>
      </w: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8.  </w:t>
      </w:r>
      <w:r>
        <w:rPr>
          <w:rFonts w:ascii="Aptos" w:hAnsi="Aptos" w:cs="Aptos" w:eastAsia="Aptos"/>
          <w:b/>
          <w:i w:val="0"/>
          <w:color w:val="35506B"/>
          <w:sz w:val="27"/>
        </w:rPr>
        <w:t>A controvérsia ativa: a extensão do CED a cães</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É hoje o eixo de fratura mais visível, e opõe o movimento de proteção animal e parte do espetro político às organizações profissionais da medicina veterinária.</w:t>
      </w:r>
    </w:p>
    <w:p>
      <w:pPr>
        <w:keepNext/>
        <w:spacing w:before="200" w:after="60" w:line="293" w:lineRule="auto"/>
      </w:pPr>
      <w:r>
        <w:rPr>
          <w:rFonts w:ascii="Aptos" w:hAnsi="Aptos" w:cs="Aptos" w:eastAsia="Aptos"/>
          <w:b/>
          <w:i w:val="0"/>
          <w:color w:val="5C7891"/>
          <w:sz w:val="19"/>
        </w:rPr>
        <w:t>Posições favoráveis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Estratégia Nacional para os Animais Errantes</w:t>
      </w:r>
      <w:r>
        <w:rPr>
          <w:rFonts w:ascii="Aptos" w:hAnsi="Aptos" w:cs="Aptos" w:eastAsia="Aptos"/>
          <w:b w:val="0"/>
          <w:i w:val="0"/>
          <w:color w:val="2B2B2B"/>
          <w:sz w:val="20"/>
        </w:rPr>
        <w:t>: «Atualmente, nos termos da lei, os programas CED não se aplicam a cães. Tal facto restringe a possibilidade de travar a reprodução das matilhas de cães, enquanto permanecem nas ruas por incapacidade de alojamento nos CRO. Importa avaliar a possibilidade da aplicação do programa CED aos cães de matilha, para os quais o tempo de permanência no local de origem seria apenas o suficiente até ser encontrada uma outra solução.»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Projeto de revisão de 2021</w:t>
      </w:r>
      <w:r>
        <w:rPr>
          <w:rFonts w:ascii="Aptos" w:hAnsi="Aptos" w:cs="Aptos" w:eastAsia="Aptos"/>
          <w:b w:val="0"/>
          <w:i w:val="0"/>
          <w:color w:val="2B2B2B"/>
          <w:sz w:val="20"/>
        </w:rPr>
        <w:t>: admitia que as câmaras promovessem, «excecional e transitoriamente, por falta de capacidade de alojamento no CRO, a esterilização de cães errantes quando não seja possível proceder à sua recolha imediata, a fim de evitar a sua reprodução e agravar a proliferação de animais errantes e formação de matilhas».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PAN</w:t>
      </w:r>
      <w:r>
        <w:rPr>
          <w:rFonts w:ascii="Aptos" w:hAnsi="Aptos" w:cs="Aptos" w:eastAsia="Aptos"/>
          <w:b w:val="0"/>
          <w:i w:val="0"/>
          <w:color w:val="2B2B2B"/>
          <w:sz w:val="20"/>
        </w:rPr>
        <w:t>: obteve na al. a) do n.º 1 do artigo 200.º da Lei n.º 82/2023, de 29 de dezembro (Orçamento do Estado para 2024), verba de 4 900 000 € para centros de recolha oficial, abrigos CED e, pela primeira vez, parques de matilhas. Aprovou na generalidade o Projeto de Lei n.º 662/XV/1.ª, caducado com a dissolução, que reconhecia a figura do animal comunitário. Mantém no programa «o alargamento da aplicação do método CED a cães e a criação de parques de matilhas».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Bloco de Esquerda</w:t>
      </w:r>
      <w:r>
        <w:rPr>
          <w:rFonts w:ascii="Aptos" w:hAnsi="Aptos" w:cs="Aptos" w:eastAsia="Aptos"/>
          <w:b w:val="0"/>
          <w:i w:val="0"/>
          <w:color w:val="2B2B2B"/>
          <w:sz w:val="20"/>
        </w:rPr>
        <w:t>: «Entendemos que a esterilização e devolução de cães errantes pode ser considerada como uma medida eficaz, numa estratégia a definir em colaboração com as autoridades veterinárias competentes e o movimento social de proteção animal.»</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Chega</w:t>
      </w:r>
      <w:r>
        <w:rPr>
          <w:rFonts w:ascii="Aptos" w:hAnsi="Aptos" w:cs="Aptos" w:eastAsia="Aptos"/>
          <w:b w:val="0"/>
          <w:i w:val="0"/>
          <w:color w:val="2B2B2B"/>
          <w:sz w:val="20"/>
        </w:rPr>
        <w:t>: «o CHEGA concorda com o sistema CED para cães desde que estes se encontrem num local circunscrito e tenham cuidadores designados».</w:t>
      </w:r>
    </w:p>
    <w:p>
      <w:pPr>
        <w:keepNext/>
        <w:spacing w:before="200" w:after="60" w:line="293" w:lineRule="auto"/>
      </w:pPr>
      <w:r>
        <w:rPr>
          <w:rFonts w:ascii="Aptos" w:hAnsi="Aptos" w:cs="Aptos" w:eastAsia="Aptos"/>
          <w:b/>
          <w:i w:val="0"/>
          <w:color w:val="5C7891"/>
          <w:sz w:val="19"/>
        </w:rPr>
        <w:t>Posições contrárias</w:t>
      </w:r>
    </w:p>
    <w:p>
      <w:pPr>
        <w:spacing w:before="0" w:after="140" w:line="293" w:lineRule="auto"/>
        <w:jc w:val="both"/>
      </w:pPr>
      <w:r>
        <w:rPr>
          <w:rFonts w:ascii="Aptos" w:hAnsi="Aptos" w:cs="Aptos" w:eastAsia="Aptos"/>
          <w:b w:val="0"/>
          <w:i w:val="0"/>
          <w:color w:val="2B2B2B"/>
          <w:sz w:val="20"/>
        </w:rPr>
        <w:t>A Ordem dos Médicos Veterinários pronunciou-se em 25 de novembro de 2025, reafirmando «total apoio ao programa CED aplicado a gatos, cuja eficácia depende das particularidades próprias da espécie felina», e qualificando a transposição do modelo para cães como «tecnicamente infundada» e «socialmente perigosa». Os argumentos invocados foram a segurança pública, o bem-estar animal — devolver cães à rua seria «condená-los a sofrimento contínuo» —, a abdicação de responsabilidade pelas autoridades locais, o risco sanitário e a deseducação social.</w:t>
      </w:r>
    </w:p>
    <w:p>
      <w:pPr>
        <w:spacing w:before="0" w:after="140" w:line="293" w:lineRule="auto"/>
        <w:jc w:val="both"/>
      </w:pPr>
      <w:r>
        <w:rPr>
          <w:rFonts w:ascii="Aptos" w:hAnsi="Aptos" w:cs="Aptos" w:eastAsia="Aptos"/>
          <w:b w:val="0"/>
          <w:i w:val="0"/>
          <w:color w:val="2B2B2B"/>
          <w:sz w:val="20"/>
        </w:rPr>
        <w:t>A APMVEAC foi no mesmo sentido, e mais longe quanto às causas.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Também consideramos que estender a estratégia de CED aos cães não é de todo a medida mais responsável e eficaz para lidar com as populações caninas errantes, mesmo como medida provisória. Da mesma forma, a construção de parques de realojamento de cães com comportamento assilvestrado comporta questões de alocação de recursos e de bem-estar animal que necessitam ser investigadas antes de se avançar para a sua disseminação. As matilhas de cães são, em grande medida, um produto da legislação deficiente, em particular da já referida "Lei do fim do abate".</w:t>
            </w:r>
          </w:p>
          <w:p>
            <w:pPr>
              <w:spacing w:before="120" w:after="0" w:line="293" w:lineRule="auto"/>
            </w:pPr>
            <w:r>
              <w:rPr>
                <w:rFonts w:ascii="Aptos" w:hAnsi="Aptos" w:cs="Aptos" w:eastAsia="Aptos"/>
                <w:b w:val="0"/>
                <w:i w:val="0"/>
                <w:color w:val="7C8894"/>
                <w:sz w:val="15"/>
              </w:rPr>
              <w:t>Parecer da APMVEAC, setembro de 2023</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A CDU manifestou prudência, invocando «questões práticas e de responsabilidade civil». A AD declarou-se disponível para refletir sobre o controlo de matilhas mas considerou que «a prioridade deve ser uma campanha massiva de esterilização para combater o problema na sua raiz». O PS e a Iniciativa Liberal não responderam ao questionário.</w:t>
      </w:r>
    </w:p>
    <w:p>
      <w:pPr>
        <w:keepNext/>
        <w:spacing w:before="200" w:after="60" w:line="293" w:lineRule="auto"/>
      </w:pPr>
      <w:r>
        <w:rPr>
          <w:rFonts w:ascii="Aptos" w:hAnsi="Aptos" w:cs="Aptos" w:eastAsia="Aptos"/>
          <w:b/>
          <w:i w:val="0"/>
          <w:color w:val="5C7891"/>
          <w:sz w:val="19"/>
        </w:rPr>
        <w:t>O ponto adjacente: eutanásia e autonomia clínica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A eutanásia deve ser encarada como um ato clínico, responsabilidade exclusiva do médico veterinário a quem compete determinar as circunstâncias concretas em que é realizada.</w:t>
            </w:r>
          </w:p>
          <w:p>
            <w:pPr>
              <w:spacing w:before="120" w:after="0" w:line="293" w:lineRule="auto"/>
            </w:pPr>
            <w:r>
              <w:rPr>
                <w:rFonts w:ascii="Aptos" w:hAnsi="Aptos" w:cs="Aptos" w:eastAsia="Aptos"/>
                <w:b w:val="0"/>
                <w:i w:val="0"/>
                <w:color w:val="7C8894"/>
                <w:sz w:val="15"/>
              </w:rPr>
              <w:t>Parecer da APMVEAC, setembro de 2023</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Observação.</w:t>
            </w:r>
            <w:r>
              <w:rPr>
                <w:rFonts w:ascii="Aptos" w:hAnsi="Aptos" w:cs="Aptos" w:eastAsia="Aptos"/>
                <w:b w:val="0"/>
                <w:i w:val="0"/>
                <w:color w:val="2B2B2B"/>
                <w:sz w:val="19"/>
              </w:rPr>
              <w:t xml:space="preserve"> Esta posição colide frontalmente com o regime em vigor. O n.º 5 do artigo 3.º da Lei n.º 27/2016 e o artigo 11.º da Portaria n.º 146/2017 fixam um elenco taxativo de situações em que o abate ou occisão pode ser praticado. O vice-presidente do Conselho Profissional e Deontológico da Ordem dos Médicos Veterinários sintetizou a tensão observando que os veterinários municipais não podem decidir segundo critério próprio como os veterinários privados, sentindo-se por isso «muito pressionados».</w:t>
            </w:r>
          </w:p>
        </w:tc>
      </w:tr>
    </w:tbl>
    <w:p>
      <w:pPr>
        <w:spacing w:before="0" w:after="180" w:line="293" w:lineRule="auto"/>
      </w:pP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9.  </w:t>
      </w:r>
      <w:r>
        <w:rPr>
          <w:rFonts w:ascii="Aptos" w:hAnsi="Aptos" w:cs="Aptos" w:eastAsia="Aptos"/>
          <w:b/>
          <w:i w:val="0"/>
          <w:color w:val="35506B"/>
          <w:sz w:val="27"/>
        </w:rPr>
        <w:t>Capacidade institucional</w:t>
      </w:r>
    </w:p>
    <w:p>
      <w:pPr>
        <w:keepNext/>
        <w:pBdr>
          <w:bottom w:val="single" w:sz="4" w:space="1" w:color="D7DEE5"/>
        </w:pBdr>
        <w:spacing w:before="0" w:after="160" w:line="40" w:lineRule="exact"/>
      </w:pPr>
    </w:p>
    <w:p>
      <w:pPr>
        <w:keepNext/>
        <w:spacing w:before="260" w:after="80" w:line="293" w:lineRule="auto"/>
      </w:pPr>
      <w:r>
        <w:rPr>
          <w:rFonts w:ascii="Aptos" w:hAnsi="Aptos" w:cs="Aptos" w:eastAsia="Aptos"/>
          <w:b/>
          <w:i w:val="0"/>
          <w:color w:val="7C8894"/>
          <w:sz w:val="21"/>
        </w:rPr>
        <w:t xml:space="preserve">9.1  </w:t>
      </w:r>
      <w:r>
        <w:rPr>
          <w:rFonts w:ascii="Aptos" w:hAnsi="Aptos" w:cs="Aptos" w:eastAsia="Aptos"/>
          <w:b/>
          <w:i w:val="0"/>
          <w:color w:val="35506B"/>
          <w:sz w:val="21"/>
        </w:rPr>
        <w:t>Médicos veterinários municipais</w:t>
      </w:r>
    </w:p>
    <w:p>
      <w:pPr>
        <w:spacing w:before="0" w:after="140" w:line="293" w:lineRule="auto"/>
        <w:jc w:val="both"/>
      </w:pPr>
      <w:r>
        <w:rPr>
          <w:rFonts w:ascii="Aptos" w:hAnsi="Aptos" w:cs="Aptos" w:eastAsia="Aptos"/>
          <w:b w:val="0"/>
          <w:i w:val="0"/>
          <w:color w:val="2B2B2B"/>
          <w:sz w:val="20"/>
        </w:rPr>
        <w:t>O regime do CED depende, em dois momentos essenciais, de uma figura que nem todos os municípios possuem: o parecer prévio do n.º 1 do artigo 9.º e a supervisão da colónia do n.º 5. A mesma figura é pressuposto do parecer vinculativo do n.º 2 do artigo 3.º do Decreto-Lei n.º 314/2003.</w:t>
      </w:r>
    </w:p>
    <w:p>
      <w:pPr>
        <w:spacing w:before="0" w:after="140" w:line="293" w:lineRule="auto"/>
        <w:jc w:val="both"/>
      </w:pPr>
      <w:r>
        <w:rPr>
          <w:rFonts w:ascii="Aptos" w:hAnsi="Aptos" w:cs="Aptos" w:eastAsia="Aptos"/>
          <w:b w:val="0"/>
          <w:i w:val="0"/>
          <w:color w:val="2B2B2B"/>
          <w:sz w:val="20"/>
        </w:rPr>
        <w:t>A Câmara Municipal de Setúbal declarou publicamente não existir no município o cargo de médico veterinário municipal, dispondo de dois técnicos superiores com licenciatura em medicina veterinária. A ANVETEM — Associação dos Veterinários dos Municípios — tem por objeto, entre outros, «defender a sua integração nos municípios e o exercício das suas competências».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Observação.</w:t>
            </w:r>
            <w:r>
              <w:rPr>
                <w:rFonts w:ascii="Aptos" w:hAnsi="Aptos" w:cs="Aptos" w:eastAsia="Aptos"/>
                <w:b w:val="0"/>
                <w:i w:val="0"/>
                <w:color w:val="2B2B2B"/>
                <w:sz w:val="19"/>
              </w:rPr>
              <w:t xml:space="preserve"> Se a figura não existe no município, o parecer que a lei exige não pode ser emitido nos termos em que é exigido. Não é irregularidade menor: é pressuposto de legalidade do ato de autorização da colónia. O ponto merece levantamento nacional.</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9.2  </w:t>
      </w:r>
      <w:r>
        <w:rPr>
          <w:rFonts w:ascii="Aptos" w:hAnsi="Aptos" w:cs="Aptos" w:eastAsia="Aptos"/>
          <w:b/>
          <w:i w:val="0"/>
          <w:color w:val="35506B"/>
          <w:sz w:val="21"/>
        </w:rPr>
        <w:t>As dificuldades reportadas pelos municípios</w:t>
      </w:r>
    </w:p>
    <w:p>
      <w:pPr>
        <w:spacing w:before="0" w:after="140" w:line="293" w:lineRule="auto"/>
        <w:jc w:val="both"/>
      </w:pPr>
      <w:r>
        <w:rPr>
          <w:rFonts w:ascii="Aptos" w:hAnsi="Aptos" w:cs="Aptos" w:eastAsia="Aptos"/>
          <w:b w:val="0"/>
          <w:i w:val="0"/>
          <w:color w:val="2B2B2B"/>
          <w:sz w:val="20"/>
        </w:rPr>
        <w:t>O Grupo de Trabalho para o Bem-Estar Animal inquiriu as entidades envolvidas e sistematizou as categorias de dificuldade reportadas: na captura, a falta de alojamento; na gestão e construção de alojamentos, o financiamento; e, transversalmente, «dificuldades de pessoal sem [formação]», «requisitos» e «quadro legal».</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Percebe-se assim que o investimento no alargamento e a modernização da rede de alojamento de animais errantes não pode deixar de ser considerado como objetivo estratégico na definição da estratégia para os animais errantes.</w:t>
            </w:r>
          </w:p>
          <w:p>
            <w:pPr>
              <w:spacing w:before="120" w:after="0" w:line="293" w:lineRule="auto"/>
            </w:pPr>
            <w:r>
              <w:rPr>
                <w:rFonts w:ascii="Aptos" w:hAnsi="Aptos" w:cs="Aptos" w:eastAsia="Aptos"/>
                <w:b w:val="0"/>
                <w:i w:val="0"/>
                <w:color w:val="7C8894"/>
                <w:sz w:val="15"/>
              </w:rPr>
              <w:t>Relatório Final do Grupo de Trabalho para o Bem-Estar Animal, DGAV, 2021</w:t>
            </w:r>
          </w:p>
        </w:tc>
      </w:tr>
    </w:tbl>
    <w:p>
      <w:pPr>
        <w:spacing w:before="0" w:after="180" w:line="293" w:lineRule="auto"/>
      </w:pPr>
    </w:p>
    <w:p>
      <w:pPr>
        <w:keepNext/>
        <w:spacing w:before="360" w:after="40" w:line="293" w:lineRule="auto"/>
      </w:pPr>
      <w:r>
        <w:rPr>
          <w:rFonts w:ascii="Aptos" w:hAnsi="Aptos" w:cs="Aptos" w:eastAsia="Aptos"/>
          <w:b/>
          <w:i w:val="0"/>
          <w:color w:val="5C7891"/>
          <w:sz w:val="27"/>
        </w:rPr>
        <w:t xml:space="preserve">10.  </w:t>
      </w:r>
      <w:r>
        <w:rPr>
          <w:rFonts w:ascii="Aptos" w:hAnsi="Aptos" w:cs="Aptos" w:eastAsia="Aptos"/>
          <w:b/>
          <w:i w:val="0"/>
          <w:color w:val="35506B"/>
          <w:sz w:val="27"/>
        </w:rPr>
        <w:t>Uma figura proposta que resolveria muito</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O direito vigente só conhece dois estados para um gato: errante, nos termos da al. c) do n.º 1 do artigo 2.º do Decreto-Lei n.º 276/2001, ou com detentor. Não há terceira categoria. Toda a situação real tem de ser forçada para dentro de uma das duas.</w:t>
      </w:r>
    </w:p>
    <w:p>
      <w:pPr>
        <w:spacing w:before="0" w:after="140" w:line="293" w:lineRule="auto"/>
        <w:jc w:val="both"/>
      </w:pPr>
      <w:r>
        <w:rPr>
          <w:rFonts w:ascii="Aptos" w:hAnsi="Aptos" w:cs="Aptos" w:eastAsia="Aptos"/>
          <w:b w:val="0"/>
          <w:i w:val="0"/>
          <w:color w:val="2B2B2B"/>
          <w:sz w:val="20"/>
        </w:rPr>
        <w:t>O PAN aprovou na generalidade o Projeto de Lei n.º 662/XV/1.ª, que «assegurava o reconhecimento legal da figura do animal comunitário» e que caducou com a dissolução do Parlamento. Mantém o compromisso de «rever a lei e os regulamentos vigentes para que seja instituída a figura do animal comunitário, garantida a esterilização, e a alimentação e o abeberamento dos animais comunitários ou errantes que se encontrem na via pública, incluindo as colónias de gatos ou matilhas de cães».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É a figura em falta. Um animal que </w:t>
            </w:r>
            <w:r>
              <w:rPr>
                <w:rFonts w:ascii="Aptos" w:hAnsi="Aptos" w:cs="Aptos" w:eastAsia="Aptos"/>
                <w:b/>
                <w:i w:val="0"/>
                <w:color w:val="2B2B2B"/>
                <w:sz w:val="20"/>
              </w:rPr>
              <w:t>não é errante</w:t>
            </w:r>
            <w:r>
              <w:rPr>
                <w:rFonts w:ascii="Aptos" w:hAnsi="Aptos" w:cs="Aptos" w:eastAsia="Aptos"/>
                <w:b w:val="0"/>
                <w:i w:val="0"/>
                <w:color w:val="2B2B2B"/>
                <w:sz w:val="20"/>
              </w:rPr>
              <w:t xml:space="preserve">, porque tem cuidador identificado, plano de gestão e registo, e que </w:t>
            </w:r>
            <w:r>
              <w:rPr>
                <w:rFonts w:ascii="Aptos" w:hAnsi="Aptos" w:cs="Aptos" w:eastAsia="Aptos"/>
                <w:b/>
                <w:i w:val="0"/>
                <w:color w:val="2B2B2B"/>
                <w:sz w:val="20"/>
              </w:rPr>
              <w:t>não tem detentor-proprietário</w:t>
            </w:r>
            <w:r>
              <w:rPr>
                <w:rFonts w:ascii="Aptos" w:hAnsi="Aptos" w:cs="Aptos" w:eastAsia="Aptos"/>
                <w:b w:val="0"/>
                <w:i w:val="0"/>
                <w:color w:val="2B2B2B"/>
                <w:sz w:val="20"/>
              </w:rPr>
              <w:t>, porque ninguém o detém. Sem ela, qualquer situação intermédia — designadamente o acolhimento temporário de crias de colónia — é resolvida por reconduzir o cidadão à categoria de detentor, com todas as consequências que daí decorrem.</w:t>
            </w:r>
          </w:p>
        </w:tc>
      </w:tr>
    </w:tbl>
    <w:p>
      <w:pPr>
        <w:spacing w:before="0" w:after="180" w:line="293" w:lineRule="auto"/>
      </w:pP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11.  </w:t>
      </w:r>
      <w:r>
        <w:rPr>
          <w:rFonts w:ascii="Aptos" w:hAnsi="Aptos" w:cs="Aptos" w:eastAsia="Aptos"/>
          <w:b/>
          <w:i w:val="0"/>
          <w:color w:val="35506B"/>
          <w:sz w:val="27"/>
        </w:rPr>
        <w:t>Síntese: o que uma revisão tem de resolver</w:t>
      </w:r>
    </w:p>
    <w:p>
      <w:pPr>
        <w:keepNext/>
        <w:pBdr>
          <w:bottom w:val="single" w:sz="4" w:space="1" w:color="D7DEE5"/>
        </w:pBdr>
        <w:spacing w:before="0" w:after="160" w:line="40" w:lineRule="exact"/>
      </w:pPr>
    </w:p>
    <w:p>
      <w:pPr>
        <w:spacing w:before="0" w:after="100" w:line="293" w:lineRule="auto"/>
        <w:ind w:left="408" w:hanging="408"/>
        <w:jc w:val="both"/>
      </w:pPr>
      <w:r>
        <w:rPr>
          <w:rFonts w:ascii="Aptos" w:hAnsi="Aptos" w:cs="Aptos" w:eastAsia="Aptos"/>
          <w:b/>
          <w:i w:val="0"/>
          <w:color w:val="5C7891"/>
          <w:sz w:val="20"/>
        </w:rPr>
        <w:t>1.</w:t>
        <w:tab/>
      </w:r>
      <w:r>
        <w:rPr>
          <w:rFonts w:ascii="Aptos" w:hAnsi="Aptos" w:cs="Aptos" w:eastAsia="Aptos"/>
          <w:b w:val="0"/>
          <w:i w:val="0"/>
          <w:color w:val="2B2B2B"/>
          <w:sz w:val="20"/>
        </w:rPr>
        <w:t xml:space="preserve">Definir se o CED é </w:t>
      </w:r>
      <w:r>
        <w:rPr>
          <w:rFonts w:ascii="Aptos" w:hAnsi="Aptos" w:cs="Aptos" w:eastAsia="Aptos"/>
          <w:b/>
          <w:i w:val="0"/>
          <w:color w:val="2B2B2B"/>
          <w:sz w:val="20"/>
        </w:rPr>
        <w:t>faculdade ou dever</w:t>
      </w:r>
      <w:r>
        <w:rPr>
          <w:rFonts w:ascii="Aptos" w:hAnsi="Aptos" w:cs="Aptos" w:eastAsia="Aptos"/>
          <w:b w:val="0"/>
          <w:i w:val="0"/>
          <w:color w:val="2B2B2B"/>
          <w:sz w:val="20"/>
        </w:rPr>
        <w:t xml:space="preserve"> do município, conformando o artigo 9.º da Portaria com o artigo 4.º da Lei.</w:t>
      </w:r>
    </w:p>
    <w:p>
      <w:pPr>
        <w:spacing w:before="0" w:after="100" w:line="293" w:lineRule="auto"/>
        <w:ind w:left="408" w:hanging="408"/>
        <w:jc w:val="both"/>
      </w:pPr>
      <w:r>
        <w:rPr>
          <w:rFonts w:ascii="Aptos" w:hAnsi="Aptos" w:cs="Aptos" w:eastAsia="Aptos"/>
          <w:b/>
          <w:i w:val="0"/>
          <w:color w:val="5C7891"/>
          <w:sz w:val="20"/>
        </w:rPr>
        <w:t>2.</w:t>
        <w:tab/>
      </w:r>
      <w:r>
        <w:rPr>
          <w:rFonts w:ascii="Aptos" w:hAnsi="Aptos" w:cs="Aptos" w:eastAsia="Aptos"/>
          <w:b w:val="0"/>
          <w:i w:val="0"/>
          <w:color w:val="2B2B2B"/>
          <w:sz w:val="20"/>
        </w:rPr>
        <w:t xml:space="preserve">Identificar expressamente a </w:t>
      </w:r>
      <w:r>
        <w:rPr>
          <w:rFonts w:ascii="Aptos" w:hAnsi="Aptos" w:cs="Aptos" w:eastAsia="Aptos"/>
          <w:b/>
          <w:i w:val="0"/>
          <w:color w:val="2B2B2B"/>
          <w:sz w:val="20"/>
        </w:rPr>
        <w:t>entidade responsável</w:t>
      </w:r>
      <w:r>
        <w:rPr>
          <w:rFonts w:ascii="Aptos" w:hAnsi="Aptos" w:cs="Aptos" w:eastAsia="Aptos"/>
          <w:b w:val="0"/>
          <w:i w:val="0"/>
          <w:color w:val="2B2B2B"/>
          <w:sz w:val="20"/>
        </w:rPr>
        <w:t xml:space="preserve"> e distingui-la, ou não, da entidade promotora que suporta as despesas.</w:t>
      </w:r>
    </w:p>
    <w:p>
      <w:pPr>
        <w:spacing w:before="0" w:after="100" w:line="293" w:lineRule="auto"/>
        <w:ind w:left="408" w:hanging="408"/>
        <w:jc w:val="both"/>
      </w:pPr>
      <w:r>
        <w:rPr>
          <w:rFonts w:ascii="Aptos" w:hAnsi="Aptos" w:cs="Aptos" w:eastAsia="Aptos"/>
          <w:b/>
          <w:i w:val="0"/>
          <w:color w:val="5C7891"/>
          <w:sz w:val="20"/>
        </w:rPr>
        <w:t>3.</w:t>
        <w:tab/>
      </w:r>
      <w:r>
        <w:rPr>
          <w:rFonts w:ascii="Aptos" w:hAnsi="Aptos" w:cs="Aptos" w:eastAsia="Aptos"/>
          <w:b w:val="0"/>
          <w:i w:val="0"/>
          <w:color w:val="2B2B2B"/>
          <w:sz w:val="20"/>
        </w:rPr>
        <w:t xml:space="preserve">Criar o </w:t>
      </w:r>
      <w:r>
        <w:rPr>
          <w:rFonts w:ascii="Aptos" w:hAnsi="Aptos" w:cs="Aptos" w:eastAsia="Aptos"/>
          <w:b/>
          <w:i w:val="0"/>
          <w:color w:val="2B2B2B"/>
          <w:sz w:val="20"/>
        </w:rPr>
        <w:t>estatuto do cuidador de colónia</w:t>
      </w:r>
      <w:r>
        <w:rPr>
          <w:rFonts w:ascii="Aptos" w:hAnsi="Aptos" w:cs="Aptos" w:eastAsia="Aptos"/>
          <w:b w:val="0"/>
          <w:i w:val="0"/>
          <w:color w:val="2B2B2B"/>
          <w:sz w:val="20"/>
        </w:rPr>
        <w:t>: designação, requisitos, direitos, deveres, cessação e regime de responsabilidade.</w:t>
      </w:r>
    </w:p>
    <w:p>
      <w:pPr>
        <w:spacing w:before="0" w:after="100" w:line="293" w:lineRule="auto"/>
        <w:ind w:left="408" w:hanging="408"/>
        <w:jc w:val="both"/>
      </w:pPr>
      <w:r>
        <w:rPr>
          <w:rFonts w:ascii="Aptos" w:hAnsi="Aptos" w:cs="Aptos" w:eastAsia="Aptos"/>
          <w:b/>
          <w:i w:val="0"/>
          <w:color w:val="5C7891"/>
          <w:sz w:val="20"/>
        </w:rPr>
        <w:t>4.</w:t>
        <w:tab/>
      </w:r>
      <w:r>
        <w:rPr>
          <w:rFonts w:ascii="Aptos" w:hAnsi="Aptos" w:cs="Aptos" w:eastAsia="Aptos"/>
          <w:b w:val="0"/>
          <w:i w:val="0"/>
          <w:color w:val="2B2B2B"/>
          <w:sz w:val="20"/>
        </w:rPr>
        <w:t xml:space="preserve">Criar o </w:t>
      </w:r>
      <w:r>
        <w:rPr>
          <w:rFonts w:ascii="Aptos" w:hAnsi="Aptos" w:cs="Aptos" w:eastAsia="Aptos"/>
          <w:b/>
          <w:i w:val="0"/>
          <w:color w:val="2B2B2B"/>
          <w:sz w:val="20"/>
        </w:rPr>
        <w:t>estatuto da família de acolhimento temporário</w:t>
      </w:r>
      <w:r>
        <w:rPr>
          <w:rFonts w:ascii="Aptos" w:hAnsi="Aptos" w:cs="Aptos" w:eastAsia="Aptos"/>
          <w:b w:val="0"/>
          <w:i w:val="0"/>
          <w:color w:val="2B2B2B"/>
          <w:sz w:val="20"/>
        </w:rPr>
        <w:t>, esclarecendo que o acolhimento não converte o acolhedor em titular.</w:t>
      </w:r>
    </w:p>
    <w:p>
      <w:pPr>
        <w:spacing w:before="0" w:after="100" w:line="293" w:lineRule="auto"/>
        <w:ind w:left="408" w:hanging="408"/>
        <w:jc w:val="both"/>
      </w:pPr>
      <w:r>
        <w:rPr>
          <w:rFonts w:ascii="Aptos" w:hAnsi="Aptos" w:cs="Aptos" w:eastAsia="Aptos"/>
          <w:b/>
          <w:i w:val="0"/>
          <w:color w:val="5C7891"/>
          <w:sz w:val="20"/>
        </w:rPr>
        <w:t>5.</w:t>
        <w:tab/>
      </w:r>
      <w:r>
        <w:rPr>
          <w:rFonts w:ascii="Aptos" w:hAnsi="Aptos" w:cs="Aptos" w:eastAsia="Aptos"/>
          <w:b w:val="0"/>
          <w:i w:val="0"/>
          <w:color w:val="2B2B2B"/>
          <w:sz w:val="20"/>
        </w:rPr>
        <w:t xml:space="preserve">Fixar </w:t>
      </w:r>
      <w:r>
        <w:rPr>
          <w:rFonts w:ascii="Aptos" w:hAnsi="Aptos" w:cs="Aptos" w:eastAsia="Aptos"/>
          <w:b/>
          <w:i w:val="0"/>
          <w:color w:val="2B2B2B"/>
          <w:sz w:val="20"/>
        </w:rPr>
        <w:t>em nome de quem</w:t>
      </w:r>
      <w:r>
        <w:rPr>
          <w:rFonts w:ascii="Aptos" w:hAnsi="Aptos" w:cs="Aptos" w:eastAsia="Aptos"/>
          <w:b w:val="0"/>
          <w:i w:val="0"/>
          <w:color w:val="2B2B2B"/>
          <w:sz w:val="20"/>
        </w:rPr>
        <w:t xml:space="preserve"> se registam os animais de colónia no SIAC e criar campo próprio para a colónia, permitindo o cadastro e a georreferenciação.</w:t>
      </w:r>
    </w:p>
    <w:p>
      <w:pPr>
        <w:spacing w:before="0" w:after="100" w:line="293" w:lineRule="auto"/>
        <w:ind w:left="408" w:hanging="408"/>
        <w:jc w:val="both"/>
      </w:pPr>
      <w:r>
        <w:rPr>
          <w:rFonts w:ascii="Aptos" w:hAnsi="Aptos" w:cs="Aptos" w:eastAsia="Aptos"/>
          <w:b/>
          <w:i w:val="0"/>
          <w:color w:val="5C7891"/>
          <w:sz w:val="20"/>
        </w:rPr>
        <w:t>6.</w:t>
        <w:tab/>
      </w:r>
      <w:r>
        <w:rPr>
          <w:rFonts w:ascii="Aptos" w:hAnsi="Aptos" w:cs="Aptos" w:eastAsia="Aptos"/>
          <w:b w:val="0"/>
          <w:i w:val="0"/>
          <w:color w:val="2B2B2B"/>
          <w:sz w:val="20"/>
        </w:rPr>
        <w:t xml:space="preserve">Regular o </w:t>
      </w:r>
      <w:r>
        <w:rPr>
          <w:rFonts w:ascii="Aptos" w:hAnsi="Aptos" w:cs="Aptos" w:eastAsia="Aptos"/>
          <w:b/>
          <w:i w:val="0"/>
          <w:color w:val="2B2B2B"/>
          <w:sz w:val="20"/>
        </w:rPr>
        <w:t>procedimento de verificação de aptidão</w:t>
      </w:r>
      <w:r>
        <w:rPr>
          <w:rFonts w:ascii="Aptos" w:hAnsi="Aptos" w:cs="Aptos" w:eastAsia="Aptos"/>
          <w:b w:val="0"/>
          <w:i w:val="0"/>
          <w:color w:val="2B2B2B"/>
          <w:sz w:val="20"/>
        </w:rPr>
        <w:t>: critério, quem decide, fundamentação e impugnação.</w:t>
      </w:r>
    </w:p>
    <w:p>
      <w:pPr>
        <w:spacing w:before="0" w:after="100" w:line="293" w:lineRule="auto"/>
        <w:ind w:left="408" w:hanging="408"/>
        <w:jc w:val="both"/>
      </w:pPr>
      <w:r>
        <w:rPr>
          <w:rFonts w:ascii="Aptos" w:hAnsi="Aptos" w:cs="Aptos" w:eastAsia="Aptos"/>
          <w:b/>
          <w:i w:val="0"/>
          <w:color w:val="5C7891"/>
          <w:sz w:val="20"/>
        </w:rPr>
        <w:t>7.</w:t>
        <w:tab/>
      </w:r>
      <w:r>
        <w:rPr>
          <w:rFonts w:ascii="Aptos" w:hAnsi="Aptos" w:cs="Aptos" w:eastAsia="Aptos"/>
          <w:b w:val="0"/>
          <w:i w:val="0"/>
          <w:color w:val="2B2B2B"/>
          <w:sz w:val="20"/>
        </w:rPr>
        <w:t xml:space="preserve">Articular os </w:t>
      </w:r>
      <w:r>
        <w:rPr>
          <w:rFonts w:ascii="Aptos" w:hAnsi="Aptos" w:cs="Aptos" w:eastAsia="Aptos"/>
          <w:b/>
          <w:i w:val="0"/>
          <w:color w:val="2B2B2B"/>
          <w:sz w:val="20"/>
        </w:rPr>
        <w:t>prazos aplicáveis às crias</w:t>
      </w:r>
      <w:r>
        <w:rPr>
          <w:rFonts w:ascii="Aptos" w:hAnsi="Aptos" w:cs="Aptos" w:eastAsia="Aptos"/>
          <w:b w:val="0"/>
          <w:i w:val="0"/>
          <w:color w:val="2B2B2B"/>
          <w:sz w:val="20"/>
        </w:rPr>
        <w:t xml:space="preserve"> — socialização, registo, adoção e esterilização.</w:t>
      </w:r>
    </w:p>
    <w:p>
      <w:pPr>
        <w:spacing w:before="0" w:after="100" w:line="293" w:lineRule="auto"/>
        <w:ind w:left="408" w:hanging="408"/>
        <w:jc w:val="both"/>
      </w:pPr>
      <w:r>
        <w:rPr>
          <w:rFonts w:ascii="Aptos" w:hAnsi="Aptos" w:cs="Aptos" w:eastAsia="Aptos"/>
          <w:b/>
          <w:i w:val="0"/>
          <w:color w:val="5C7891"/>
          <w:sz w:val="20"/>
        </w:rPr>
        <w:t>8.</w:t>
        <w:tab/>
      </w:r>
      <w:r>
        <w:rPr>
          <w:rFonts w:ascii="Aptos" w:hAnsi="Aptos" w:cs="Aptos" w:eastAsia="Aptos"/>
          <w:b w:val="0"/>
          <w:i w:val="0"/>
          <w:color w:val="2B2B2B"/>
          <w:sz w:val="20"/>
        </w:rPr>
        <w:t xml:space="preserve">Regular a </w:t>
      </w:r>
      <w:r>
        <w:rPr>
          <w:rFonts w:ascii="Aptos" w:hAnsi="Aptos" w:cs="Aptos" w:eastAsia="Aptos"/>
          <w:b/>
          <w:i w:val="0"/>
          <w:color w:val="2B2B2B"/>
          <w:sz w:val="20"/>
        </w:rPr>
        <w:t>colónia em propriedade privada</w:t>
      </w:r>
      <w:r>
        <w:rPr>
          <w:rFonts w:ascii="Aptos" w:hAnsi="Aptos" w:cs="Aptos" w:eastAsia="Aptos"/>
          <w:b w:val="0"/>
          <w:i w:val="0"/>
          <w:color w:val="2B2B2B"/>
          <w:sz w:val="20"/>
        </w:rPr>
        <w:t xml:space="preserve"> e os direitos de terceiros afetados.</w:t>
      </w:r>
    </w:p>
    <w:p>
      <w:pPr>
        <w:spacing w:before="0" w:after="100" w:line="293" w:lineRule="auto"/>
        <w:ind w:left="408" w:hanging="408"/>
        <w:jc w:val="both"/>
      </w:pPr>
      <w:r>
        <w:rPr>
          <w:rFonts w:ascii="Aptos" w:hAnsi="Aptos" w:cs="Aptos" w:eastAsia="Aptos"/>
          <w:b/>
          <w:i w:val="0"/>
          <w:color w:val="5C7891"/>
          <w:sz w:val="20"/>
        </w:rPr>
        <w:t>9.</w:t>
        <w:tab/>
      </w:r>
      <w:r>
        <w:rPr>
          <w:rFonts w:ascii="Aptos" w:hAnsi="Aptos" w:cs="Aptos" w:eastAsia="Aptos"/>
          <w:b w:val="0"/>
          <w:i w:val="0"/>
          <w:color w:val="2B2B2B"/>
          <w:sz w:val="20"/>
        </w:rPr>
        <w:t xml:space="preserve">Introduzir </w:t>
      </w:r>
      <w:r>
        <w:rPr>
          <w:rFonts w:ascii="Aptos" w:hAnsi="Aptos" w:cs="Aptos" w:eastAsia="Aptos"/>
          <w:b/>
          <w:i w:val="0"/>
          <w:color w:val="2B2B2B"/>
          <w:sz w:val="20"/>
        </w:rPr>
        <w:t>garantias procedimentais</w:t>
      </w:r>
      <w:r>
        <w:rPr>
          <w:rFonts w:ascii="Aptos" w:hAnsi="Aptos" w:cs="Aptos" w:eastAsia="Aptos"/>
          <w:b w:val="0"/>
          <w:i w:val="0"/>
          <w:color w:val="2B2B2B"/>
          <w:sz w:val="20"/>
        </w:rPr>
        <w:t xml:space="preserve"> na suspensão do programa e na recolha dos animais.</w:t>
      </w:r>
    </w:p>
    <w:p>
      <w:pPr>
        <w:spacing w:before="0" w:after="100" w:line="293" w:lineRule="auto"/>
        <w:ind w:left="408" w:hanging="408"/>
        <w:jc w:val="both"/>
      </w:pPr>
      <w:r>
        <w:rPr>
          <w:rFonts w:ascii="Aptos" w:hAnsi="Aptos" w:cs="Aptos" w:eastAsia="Aptos"/>
          <w:b/>
          <w:i w:val="0"/>
          <w:color w:val="5C7891"/>
          <w:sz w:val="20"/>
        </w:rPr>
        <w:t>10.</w:t>
        <w:tab/>
      </w:r>
      <w:r>
        <w:rPr>
          <w:rFonts w:ascii="Aptos" w:hAnsi="Aptos" w:cs="Aptos" w:eastAsia="Aptos"/>
          <w:b w:val="0"/>
          <w:i w:val="0"/>
          <w:color w:val="2B2B2B"/>
          <w:sz w:val="20"/>
        </w:rPr>
        <w:t xml:space="preserve">Resolver a articulação com a </w:t>
      </w:r>
      <w:r>
        <w:rPr>
          <w:rFonts w:ascii="Aptos" w:hAnsi="Aptos" w:cs="Aptos" w:eastAsia="Aptos"/>
          <w:b/>
          <w:i w:val="0"/>
          <w:color w:val="2B2B2B"/>
          <w:sz w:val="20"/>
        </w:rPr>
        <w:t>conservação da natureza</w:t>
      </w:r>
      <w:r>
        <w:rPr>
          <w:rFonts w:ascii="Aptos" w:hAnsi="Aptos" w:cs="Aptos" w:eastAsia="Aptos"/>
          <w:b w:val="0"/>
          <w:i w:val="0"/>
          <w:color w:val="2B2B2B"/>
          <w:sz w:val="20"/>
        </w:rPr>
        <w:t>, designadamente em território insular.</w:t>
      </w:r>
    </w:p>
    <w:p>
      <w:pPr>
        <w:spacing w:before="0" w:after="100" w:line="293" w:lineRule="auto"/>
        <w:ind w:left="408" w:hanging="408"/>
        <w:jc w:val="both"/>
      </w:pPr>
      <w:r>
        <w:rPr>
          <w:rFonts w:ascii="Aptos" w:hAnsi="Aptos" w:cs="Aptos" w:eastAsia="Aptos"/>
          <w:b/>
          <w:i w:val="0"/>
          <w:color w:val="5C7891"/>
          <w:sz w:val="20"/>
        </w:rPr>
        <w:t>11.</w:t>
        <w:tab/>
      </w:r>
      <w:r>
        <w:rPr>
          <w:rFonts w:ascii="Aptos" w:hAnsi="Aptos" w:cs="Aptos" w:eastAsia="Aptos"/>
          <w:b w:val="0"/>
          <w:i w:val="0"/>
          <w:color w:val="2B2B2B"/>
          <w:sz w:val="20"/>
        </w:rPr>
        <w:t xml:space="preserve">Decidir, com fundamento técnico, a questão da </w:t>
      </w:r>
      <w:r>
        <w:rPr>
          <w:rFonts w:ascii="Aptos" w:hAnsi="Aptos" w:cs="Aptos" w:eastAsia="Aptos"/>
          <w:b/>
          <w:i w:val="0"/>
          <w:color w:val="2B2B2B"/>
          <w:sz w:val="20"/>
        </w:rPr>
        <w:t>extensão a cães</w:t>
      </w:r>
      <w:r>
        <w:rPr>
          <w:rFonts w:ascii="Aptos" w:hAnsi="Aptos" w:cs="Aptos" w:eastAsia="Aptos"/>
          <w:b w:val="0"/>
          <w:i w:val="0"/>
          <w:color w:val="2B2B2B"/>
          <w:sz w:val="20"/>
        </w:rPr>
        <w:t>.</w:t>
      </w:r>
    </w:p>
    <w:p>
      <w:pPr>
        <w:spacing w:before="0" w:after="100" w:line="293" w:lineRule="auto"/>
        <w:ind w:left="408" w:hanging="408"/>
        <w:jc w:val="both"/>
      </w:pPr>
      <w:r>
        <w:rPr>
          <w:rFonts w:ascii="Aptos" w:hAnsi="Aptos" w:cs="Aptos" w:eastAsia="Aptos"/>
          <w:b/>
          <w:i w:val="0"/>
          <w:color w:val="5C7891"/>
          <w:sz w:val="20"/>
        </w:rPr>
        <w:t>12.</w:t>
        <w:tab/>
      </w:r>
      <w:r>
        <w:rPr>
          <w:rFonts w:ascii="Aptos" w:hAnsi="Aptos" w:cs="Aptos" w:eastAsia="Aptos"/>
          <w:b w:val="0"/>
          <w:i w:val="0"/>
          <w:color w:val="2B2B2B"/>
          <w:sz w:val="20"/>
        </w:rPr>
        <w:t xml:space="preserve">Aprovar o </w:t>
      </w:r>
      <w:r>
        <w:rPr>
          <w:rFonts w:ascii="Aptos" w:hAnsi="Aptos" w:cs="Aptos" w:eastAsia="Aptos"/>
          <w:b/>
          <w:i w:val="0"/>
          <w:color w:val="2B2B2B"/>
          <w:sz w:val="20"/>
        </w:rPr>
        <w:t>guia nacional de boas práticas</w:t>
      </w:r>
      <w:r>
        <w:rPr>
          <w:rFonts w:ascii="Aptos" w:hAnsi="Aptos" w:cs="Aptos" w:eastAsia="Aptos"/>
          <w:b w:val="0"/>
          <w:i w:val="0"/>
          <w:color w:val="2B2B2B"/>
          <w:sz w:val="20"/>
        </w:rPr>
        <w:t xml:space="preserve"> que a Estratégia prevê.</w:t>
      </w:r>
    </w:p>
    <w:p>
      <w:pPr>
        <w:keepNext/>
        <w:spacing w:before="360" w:after="40" w:line="293" w:lineRule="auto"/>
      </w:pPr>
      <w:r>
        <w:rPr>
          <w:rFonts w:ascii="Aptos" w:hAnsi="Aptos" w:cs="Aptos" w:eastAsia="Aptos"/>
          <w:b/>
          <w:i w:val="0"/>
          <w:color w:val="5C7891"/>
          <w:sz w:val="27"/>
        </w:rPr>
        <w:t xml:space="preserve">12.  </w:t>
      </w:r>
      <w:r>
        <w:rPr>
          <w:rFonts w:ascii="Aptos" w:hAnsi="Aptos" w:cs="Aptos" w:eastAsia="Aptos"/>
          <w:b/>
          <w:i w:val="0"/>
          <w:color w:val="35506B"/>
          <w:sz w:val="27"/>
        </w:rPr>
        <w:t>Limites desta análise</w:t>
      </w:r>
    </w:p>
    <w:p>
      <w:pPr>
        <w:keepNext/>
        <w:pBdr>
          <w:bottom w:val="single" w:sz="4" w:space="1" w:color="D7DEE5"/>
        </w:pBdr>
        <w:spacing w:before="0" w:after="160" w:line="40" w:lineRule="exact"/>
      </w:pP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 xml:space="preserve">Não foi localizada </w:t>
      </w:r>
      <w:r>
        <w:rPr>
          <w:rFonts w:ascii="Aptos" w:hAnsi="Aptos" w:cs="Aptos" w:eastAsia="Aptos"/>
          <w:b/>
          <w:i w:val="0"/>
          <w:color w:val="2B2B2B"/>
          <w:sz w:val="20"/>
        </w:rPr>
        <w:t>jurisprudência</w:t>
      </w:r>
      <w:r>
        <w:rPr>
          <w:rFonts w:ascii="Aptos" w:hAnsi="Aptos" w:cs="Aptos" w:eastAsia="Aptos"/>
          <w:b w:val="0"/>
          <w:i w:val="0"/>
          <w:color w:val="2B2B2B"/>
          <w:sz w:val="20"/>
        </w:rPr>
        <w:t xml:space="preserve"> sobre nenhuma das questões inventariadas. A pesquisa na base de dados dos tribunais superiores não devolveu decisões sobre elegibilidade para CED, estatuto do cuidador ou responsabilidade por danos causados por animais de colónia.</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 xml:space="preserve">Não foi localizada </w:t>
      </w:r>
      <w:r>
        <w:rPr>
          <w:rFonts w:ascii="Aptos" w:hAnsi="Aptos" w:cs="Aptos" w:eastAsia="Aptos"/>
          <w:b/>
          <w:i w:val="0"/>
          <w:color w:val="2B2B2B"/>
          <w:sz w:val="20"/>
        </w:rPr>
        <w:t>posição pública da ANVETEM</w:t>
      </w:r>
      <w:r>
        <w:rPr>
          <w:rFonts w:ascii="Aptos" w:hAnsi="Aptos" w:cs="Aptos" w:eastAsia="Aptos"/>
          <w:b w:val="0"/>
          <w:i w:val="0"/>
          <w:color w:val="2B2B2B"/>
          <w:sz w:val="20"/>
        </w:rPr>
        <w:t xml:space="preserve"> sobre a maioria destas questões, nem parecer da Ordem dos Médicos Veterinários sobre o CED aplicado a gatos para além do apoio genérico expresso em novembro de 2025.</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 xml:space="preserve">A </w:t>
      </w:r>
      <w:r>
        <w:rPr>
          <w:rFonts w:ascii="Aptos" w:hAnsi="Aptos" w:cs="Aptos" w:eastAsia="Aptos"/>
          <w:b/>
          <w:i w:val="0"/>
          <w:color w:val="2B2B2B"/>
          <w:sz w:val="20"/>
        </w:rPr>
        <w:t>Estratégia Nacional para os Animais Errantes</w:t>
      </w:r>
      <w:r>
        <w:rPr>
          <w:rFonts w:ascii="Aptos" w:hAnsi="Aptos" w:cs="Aptos" w:eastAsia="Aptos"/>
          <w:b w:val="0"/>
          <w:i w:val="0"/>
          <w:color w:val="2B2B2B"/>
          <w:sz w:val="20"/>
        </w:rPr>
        <w:t xml:space="preserve"> é citada na versão submetida a consulta pública. Não foi localizado ato que a aprove; as citações valem como diagnóstico da Administração, não como direito vigente.</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 xml:space="preserve">O </w:t>
      </w:r>
      <w:r>
        <w:rPr>
          <w:rFonts w:ascii="Aptos" w:hAnsi="Aptos" w:cs="Aptos" w:eastAsia="Aptos"/>
          <w:b/>
          <w:i w:val="0"/>
          <w:color w:val="2B2B2B"/>
          <w:sz w:val="20"/>
        </w:rPr>
        <w:t>projeto de revisão da Portaria</w:t>
      </w:r>
      <w:r>
        <w:rPr>
          <w:rFonts w:ascii="Aptos" w:hAnsi="Aptos" w:cs="Aptos" w:eastAsia="Aptos"/>
          <w:b w:val="0"/>
          <w:i w:val="0"/>
          <w:color w:val="2B2B2B"/>
          <w:sz w:val="20"/>
        </w:rPr>
        <w:t xml:space="preserve"> é citado na versão circulada à ANMP em dezembro de 2021. Não foi publicado e não se conhece a razão pela qual o processo não prosseguiu.</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 xml:space="preserve">Não foram consultados os </w:t>
      </w:r>
      <w:r>
        <w:rPr>
          <w:rFonts w:ascii="Aptos" w:hAnsi="Aptos" w:cs="Aptos" w:eastAsia="Aptos"/>
          <w:b/>
          <w:i w:val="0"/>
          <w:color w:val="2B2B2B"/>
          <w:sz w:val="20"/>
        </w:rPr>
        <w:t>contributos individuais</w:t>
      </w:r>
      <w:r>
        <w:rPr>
          <w:rFonts w:ascii="Aptos" w:hAnsi="Aptos" w:cs="Aptos" w:eastAsia="Aptos"/>
          <w:b w:val="0"/>
          <w:i w:val="0"/>
          <w:color w:val="2B2B2B"/>
          <w:sz w:val="20"/>
        </w:rPr>
        <w:t xml:space="preserve"> submetidos na consulta pública da Estratégia, que poderão conter posições relevantes de associações e de municípios.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 xml:space="preserve">A dimensão </w:t>
      </w:r>
      <w:r>
        <w:rPr>
          <w:rFonts w:ascii="Aptos" w:hAnsi="Aptos" w:cs="Aptos" w:eastAsia="Aptos"/>
          <w:b/>
          <w:i w:val="0"/>
          <w:color w:val="2B2B2B"/>
          <w:sz w:val="20"/>
        </w:rPr>
        <w:t>científica</w:t>
      </w:r>
      <w:r>
        <w:rPr>
          <w:rFonts w:ascii="Aptos" w:hAnsi="Aptos" w:cs="Aptos" w:eastAsia="Aptos"/>
          <w:b w:val="0"/>
          <w:i w:val="0"/>
          <w:color w:val="2B2B2B"/>
          <w:sz w:val="20"/>
        </w:rPr>
        <w:t xml:space="preserve"> do debate sobre a eficácia do CED — taxas mínimas de esterilização, condição de população fechada, modelos de projeção — não foi objeto de revisão sistemática neste documento.</w:t>
      </w: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Anexo A  </w:t>
      </w:r>
      <w:r>
        <w:rPr>
          <w:rFonts w:ascii="Aptos" w:hAnsi="Aptos" w:cs="Aptos" w:eastAsia="Aptos"/>
          <w:b/>
          <w:i w:val="0"/>
          <w:color w:val="35506B"/>
          <w:sz w:val="27"/>
        </w:rPr>
        <w:t>Elenco de fontes</w:t>
      </w:r>
    </w:p>
    <w:p>
      <w:pPr>
        <w:keepNext/>
        <w:pBdr>
          <w:bottom w:val="single" w:sz="4" w:space="1" w:color="D7DEE5"/>
        </w:pBdr>
        <w:spacing w:before="0" w:after="160" w:line="40" w:lineRule="exact"/>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4195"/>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Fonte</w:t>
            </w:r>
          </w:p>
        </w:tc>
        <w:tc>
          <w:tcPr>
            <w:tcW w:type="dxa" w:w="3515"/>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Natureza</w:t>
            </w:r>
          </w:p>
        </w:tc>
        <w:tc>
          <w:tcPr>
            <w:tcW w:type="dxa" w:w="1644"/>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Data</w:t>
            </w:r>
          </w:p>
        </w:tc>
      </w:tr>
      <w:tr>
        <w:trPr>
          <w:cantSplit/>
        </w:trPr>
        <w:tc>
          <w:tcPr>
            <w:tcW w:type="dxa" w:w="419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Lei n.º 27/2016, de 23 de agosto</w:t>
            </w:r>
          </w:p>
        </w:tc>
        <w:tc>
          <w:tcPr>
            <w:tcW w:type="dxa" w:w="351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Lei da Assembleia da República</w:t>
            </w:r>
          </w:p>
        </w:tc>
        <w:tc>
          <w:tcPr>
            <w:tcW w:type="dxa" w:w="164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2016</w:t>
            </w:r>
          </w:p>
        </w:tc>
      </w:tr>
      <w:tr>
        <w:trPr>
          <w:cantSplit/>
        </w:trPr>
        <w:tc>
          <w:tcPr>
            <w:tcW w:type="dxa" w:w="419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Portaria n.º 146/2017, de 26 de abril</w:t>
            </w:r>
          </w:p>
        </w:tc>
        <w:tc>
          <w:tcPr>
            <w:tcW w:type="dxa" w:w="351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Regulamento — redação originária, sem alterações</w:t>
            </w:r>
          </w:p>
        </w:tc>
        <w:tc>
          <w:tcPr>
            <w:tcW w:type="dxa" w:w="164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2017</w:t>
            </w:r>
          </w:p>
        </w:tc>
      </w:tr>
      <w:tr>
        <w:trPr>
          <w:cantSplit/>
        </w:trPr>
        <w:tc>
          <w:tcPr>
            <w:tcW w:type="dxa" w:w="419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Decreto-Lei n.º 276/2001, de 17 de outubro</w:t>
            </w:r>
          </w:p>
        </w:tc>
        <w:tc>
          <w:tcPr>
            <w:tcW w:type="dxa" w:w="351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Regime dos alojamentos e proteção</w:t>
            </w:r>
          </w:p>
        </w:tc>
        <w:tc>
          <w:tcPr>
            <w:tcW w:type="dxa" w:w="164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Consolidado</w:t>
            </w:r>
          </w:p>
        </w:tc>
      </w:tr>
      <w:tr>
        <w:trPr>
          <w:cantSplit/>
        </w:trPr>
        <w:tc>
          <w:tcPr>
            <w:tcW w:type="dxa" w:w="419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Decreto-Lei n.º 314/2003, de 17 de dezembro</w:t>
            </w:r>
          </w:p>
        </w:tc>
        <w:tc>
          <w:tcPr>
            <w:tcW w:type="dxa" w:w="351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PNLVERAZ</w:t>
            </w:r>
          </w:p>
        </w:tc>
        <w:tc>
          <w:tcPr>
            <w:tcW w:type="dxa" w:w="164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Consolidado</w:t>
            </w:r>
          </w:p>
        </w:tc>
      </w:tr>
      <w:tr>
        <w:trPr>
          <w:cantSplit/>
        </w:trPr>
        <w:tc>
          <w:tcPr>
            <w:tcW w:type="dxa" w:w="419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Decreto-Lei n.º 82/2019, de 27 de junho</w:t>
            </w:r>
          </w:p>
        </w:tc>
        <w:tc>
          <w:tcPr>
            <w:tcW w:type="dxa" w:w="351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SIAC — identificação e registo</w:t>
            </w:r>
          </w:p>
        </w:tc>
        <w:tc>
          <w:tcPr>
            <w:tcW w:type="dxa" w:w="164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Consolidado</w:t>
            </w:r>
          </w:p>
        </w:tc>
      </w:tr>
      <w:tr>
        <w:trPr>
          <w:cantSplit/>
        </w:trPr>
        <w:tc>
          <w:tcPr>
            <w:tcW w:type="dxa" w:w="419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Decreto Regulamentar n.º 3/2021, de 25 de junho</w:t>
            </w:r>
          </w:p>
        </w:tc>
        <w:tc>
          <w:tcPr>
            <w:tcW w:type="dxa" w:w="351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Cria o Provedor do Animal</w:t>
            </w:r>
          </w:p>
        </w:tc>
        <w:tc>
          <w:tcPr>
            <w:tcW w:type="dxa" w:w="164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2021</w:t>
            </w:r>
          </w:p>
        </w:tc>
      </w:tr>
      <w:tr>
        <w:trPr>
          <w:cantSplit/>
        </w:trPr>
        <w:tc>
          <w:tcPr>
            <w:tcW w:type="dxa" w:w="419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RCM n.º 78/2021, de 25 de junho</w:t>
            </w:r>
          </w:p>
        </w:tc>
        <w:tc>
          <w:tcPr>
            <w:tcW w:type="dxa" w:w="351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Programa Nacional para os Animais de Companhia</w:t>
            </w:r>
          </w:p>
        </w:tc>
        <w:tc>
          <w:tcPr>
            <w:tcW w:type="dxa" w:w="164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2021</w:t>
            </w:r>
          </w:p>
        </w:tc>
      </w:tr>
      <w:tr>
        <w:trPr>
          <w:cantSplit/>
        </w:trPr>
        <w:tc>
          <w:tcPr>
            <w:tcW w:type="dxa" w:w="419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Decreto-Lei n.º 63/2025, de 7 de abril</w:t>
            </w:r>
          </w:p>
        </w:tc>
        <w:tc>
          <w:tcPr>
            <w:tcW w:type="dxa" w:w="351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Competências regressam à DGAV, com efeitos a 1.7.2025</w:t>
            </w:r>
          </w:p>
        </w:tc>
        <w:tc>
          <w:tcPr>
            <w:tcW w:type="dxa" w:w="164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2025</w:t>
            </w:r>
          </w:p>
        </w:tc>
      </w:tr>
      <w:tr>
        <w:trPr>
          <w:cantSplit/>
        </w:trPr>
        <w:tc>
          <w:tcPr>
            <w:tcW w:type="dxa" w:w="419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Estratégia Nacional para os Animais Errantes</w:t>
            </w:r>
          </w:p>
        </w:tc>
        <w:tc>
          <w:tcPr>
            <w:tcW w:type="dxa" w:w="351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Proposta do ICNF em consulta pública</w:t>
            </w:r>
          </w:p>
        </w:tc>
        <w:tc>
          <w:tcPr>
            <w:tcW w:type="dxa" w:w="164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2023</w:t>
            </w:r>
          </w:p>
        </w:tc>
      </w:tr>
      <w:tr>
        <w:trPr>
          <w:cantSplit/>
        </w:trPr>
        <w:tc>
          <w:tcPr>
            <w:tcW w:type="dxa" w:w="419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Projeto de revisão da Portaria n.º 146/2017</w:t>
            </w:r>
          </w:p>
        </w:tc>
        <w:tc>
          <w:tcPr>
            <w:tcW w:type="dxa" w:w="351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Projeto circulado à ANMP, não publicado</w:t>
            </w:r>
          </w:p>
        </w:tc>
        <w:tc>
          <w:tcPr>
            <w:tcW w:type="dxa" w:w="164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dez. 2021</w:t>
            </w:r>
          </w:p>
        </w:tc>
      </w:tr>
      <w:tr>
        <w:trPr>
          <w:cantSplit/>
        </w:trPr>
        <w:tc>
          <w:tcPr>
            <w:tcW w:type="dxa" w:w="419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Relatório Final do Grupo de Trabalho para o Bem-Estar Animal</w:t>
            </w:r>
          </w:p>
        </w:tc>
        <w:tc>
          <w:tcPr>
            <w:tcW w:type="dxa" w:w="351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Avaliação da implementação da Lei n.º 27/2016, DGAV</w:t>
            </w:r>
          </w:p>
        </w:tc>
        <w:tc>
          <w:tcPr>
            <w:tcW w:type="dxa" w:w="164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2021</w:t>
            </w:r>
          </w:p>
        </w:tc>
      </w:tr>
      <w:tr>
        <w:trPr>
          <w:cantSplit/>
        </w:trPr>
        <w:tc>
          <w:tcPr>
            <w:tcW w:type="dxa" w:w="419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Parecer da APMVEAC sobre a ENAE</w:t>
            </w:r>
          </w:p>
        </w:tc>
        <w:tc>
          <w:tcPr>
            <w:tcW w:type="dxa" w:w="351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Parecer de associação profissional</w:t>
            </w:r>
          </w:p>
        </w:tc>
        <w:tc>
          <w:tcPr>
            <w:tcW w:type="dxa" w:w="164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set. 2023</w:t>
            </w:r>
          </w:p>
        </w:tc>
      </w:tr>
      <w:tr>
        <w:trPr>
          <w:cantSplit/>
        </w:trPr>
        <w:tc>
          <w:tcPr>
            <w:tcW w:type="dxa" w:w="419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Posição da Ordem dos Médicos Veterinários sobre o CED em cães</w:t>
            </w:r>
          </w:p>
        </w:tc>
        <w:tc>
          <w:tcPr>
            <w:tcW w:type="dxa" w:w="351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Comunicado</w:t>
            </w:r>
          </w:p>
        </w:tc>
        <w:tc>
          <w:tcPr>
            <w:tcW w:type="dxa" w:w="164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25.11.2025</w:t>
            </w:r>
          </w:p>
        </w:tc>
      </w:tr>
      <w:tr>
        <w:trPr>
          <w:cantSplit/>
        </w:trPr>
        <w:tc>
          <w:tcPr>
            <w:tcW w:type="dxa" w:w="419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Respostas dos partidos — Maratona pelos Animais</w:t>
            </w:r>
          </w:p>
        </w:tc>
        <w:tc>
          <w:tcPr>
            <w:tcW w:type="dxa" w:w="351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Questionário eleitoral</w:t>
            </w:r>
          </w:p>
        </w:tc>
        <w:tc>
          <w:tcPr>
            <w:tcW w:type="dxa" w:w="164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mar. 2024</w:t>
            </w:r>
          </w:p>
        </w:tc>
      </w:tr>
      <w:tr>
        <w:trPr>
          <w:cantSplit/>
        </w:trPr>
        <w:tc>
          <w:tcPr>
            <w:tcW w:type="dxa" w:w="419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Regulamento de Saúde e Bem-Estar Animal do Município de Setúbal</w:t>
            </w:r>
          </w:p>
        </w:tc>
        <w:tc>
          <w:tcPr>
            <w:tcW w:type="dxa" w:w="351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Regulamento municipal</w:t>
            </w:r>
          </w:p>
        </w:tc>
        <w:tc>
          <w:tcPr>
            <w:tcW w:type="dxa" w:w="164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2020</w:t>
            </w:r>
          </w:p>
        </w:tc>
      </w:tr>
      <w:tr>
        <w:trPr>
          <w:cantSplit/>
        </w:trPr>
        <w:tc>
          <w:tcPr>
            <w:tcW w:type="dxa" w:w="419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Manual de Gestão de Colónias Felinas do Município de Setúbal</w:t>
            </w:r>
          </w:p>
        </w:tc>
        <w:tc>
          <w:tcPr>
            <w:tcW w:type="dxa" w:w="351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Manual municipal</w:t>
            </w:r>
          </w:p>
        </w:tc>
        <w:tc>
          <w:tcPr>
            <w:tcW w:type="dxa" w:w="164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2020</w:t>
            </w:r>
          </w:p>
        </w:tc>
      </w:tr>
      <w:tr>
        <w:trPr>
          <w:cantSplit/>
        </w:trPr>
        <w:tc>
          <w:tcPr>
            <w:tcW w:type="dxa" w:w="419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Relatório anual dos centros de recolha oficial</w:t>
            </w:r>
          </w:p>
        </w:tc>
        <w:tc>
          <w:tcPr>
            <w:tcW w:type="dxa" w:w="351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Relatório da DGAV, dados de 2025</w:t>
            </w:r>
          </w:p>
        </w:tc>
        <w:tc>
          <w:tcPr>
            <w:tcW w:type="dxa" w:w="164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31.3.2026</w:t>
            </w:r>
          </w:p>
        </w:tc>
      </w:tr>
    </w:tbl>
    <w:p>
      <w:pPr>
        <w:spacing w:before="40" w:after="180" w:line="293" w:lineRule="auto"/>
      </w:pPr>
    </w:p>
    <w:p>
      <w:pPr>
        <w:keepNext/>
        <w:spacing w:before="360" w:after="40" w:line="293" w:lineRule="auto"/>
      </w:pPr>
      <w:r>
        <w:rPr>
          <w:rFonts w:ascii="Aptos" w:hAnsi="Aptos" w:cs="Aptos" w:eastAsia="Aptos"/>
          <w:b/>
          <w:i w:val="0"/>
          <w:color w:val="5C7891"/>
          <w:sz w:val="27"/>
        </w:rPr>
        <w:t xml:space="preserve">Anexo B  </w:t>
      </w:r>
      <w:r>
        <w:rPr>
          <w:rFonts w:ascii="Aptos" w:hAnsi="Aptos" w:cs="Aptos" w:eastAsia="Aptos"/>
          <w:b/>
          <w:i w:val="0"/>
          <w:color w:val="35506B"/>
          <w:sz w:val="27"/>
        </w:rPr>
        <w:t>Quadro de normas citadas</w:t>
      </w:r>
    </w:p>
    <w:p>
      <w:pPr>
        <w:keepNext/>
        <w:pBdr>
          <w:bottom w:val="single" w:sz="4" w:space="1" w:color="D7DEE5"/>
        </w:pBdr>
        <w:spacing w:before="0" w:after="160" w:line="40" w:lineRule="exact"/>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243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Norma</w:t>
            </w:r>
          </w:p>
        </w:tc>
        <w:tc>
          <w:tcPr>
            <w:tcW w:type="dxa" w:w="260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Diploma</w:t>
            </w:r>
          </w:p>
        </w:tc>
        <w:tc>
          <w:tcPr>
            <w:tcW w:type="dxa" w:w="4309"/>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Matéria</w:t>
            </w:r>
          </w:p>
        </w:tc>
      </w:tr>
      <w:tr>
        <w:trPr>
          <w:cantSplit/>
        </w:trPr>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3.º, n.os 9 e 10</w:t>
            </w:r>
          </w:p>
        </w:tc>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Lei n.º 27/2016</w:t>
            </w:r>
          </w:p>
        </w:tc>
        <w:tc>
          <w:tcPr>
            <w:tcW w:type="dxa" w:w="430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Relatórios anuais dos CRO e relatório nacional</w:t>
            </w:r>
          </w:p>
        </w:tc>
      </w:tr>
      <w:tr>
        <w:trPr>
          <w:cantSplit/>
        </w:trPr>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4.º</w:t>
            </w:r>
          </w:p>
        </w:tc>
        <w:tc>
          <w:tcPr>
            <w:tcW w:type="dxa" w:w="260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Lei n.º 27/2016</w:t>
            </w:r>
          </w:p>
        </w:tc>
        <w:tc>
          <w:tcPr>
            <w:tcW w:type="dxa" w:w="430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Dever do Estado — captura, vacinação, esterilização e CED</w:t>
            </w:r>
          </w:p>
        </w:tc>
      </w:tr>
      <w:tr>
        <w:trPr>
          <w:cantSplit/>
        </w:trPr>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3.º, n.º 5</w:t>
            </w:r>
          </w:p>
        </w:tc>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Lei n.º 27/2016</w:t>
            </w:r>
          </w:p>
        </w:tc>
        <w:tc>
          <w:tcPr>
            <w:tcW w:type="dxa" w:w="430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Condições do abate ou occisão</w:t>
            </w:r>
          </w:p>
        </w:tc>
      </w:tr>
      <w:tr>
        <w:trPr>
          <w:cantSplit/>
        </w:trPr>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7.º, n.os 1 e 2</w:t>
            </w:r>
          </w:p>
        </w:tc>
        <w:tc>
          <w:tcPr>
            <w:tcW w:type="dxa" w:w="260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Portaria n.º 146/2017</w:t>
            </w:r>
          </w:p>
        </w:tc>
        <w:tc>
          <w:tcPr>
            <w:tcW w:type="dxa" w:w="430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Competência de captura e dever de entrega</w:t>
            </w:r>
          </w:p>
        </w:tc>
      </w:tr>
      <w:tr>
        <w:trPr>
          <w:cantSplit/>
        </w:trPr>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8.º, n.º 6</w:t>
            </w:r>
          </w:p>
        </w:tc>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Portaria n.º 146/2017</w:t>
            </w:r>
          </w:p>
        </w:tc>
        <w:tc>
          <w:tcPr>
            <w:tcW w:type="dxa" w:w="430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Adoção antes da esterilização; prazo dos 8 meses</w:t>
            </w:r>
          </w:p>
        </w:tc>
      </w:tr>
      <w:tr>
        <w:trPr>
          <w:cantSplit/>
        </w:trPr>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9.º, n.os 1 a 10</w:t>
            </w:r>
          </w:p>
        </w:tc>
        <w:tc>
          <w:tcPr>
            <w:tcW w:type="dxa" w:w="260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Portaria n.º 146/2017</w:t>
            </w:r>
          </w:p>
        </w:tc>
        <w:tc>
          <w:tcPr>
            <w:tcW w:type="dxa" w:w="430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Programas CED</w:t>
            </w:r>
          </w:p>
        </w:tc>
      </w:tr>
      <w:tr>
        <w:trPr>
          <w:cantSplit/>
        </w:trPr>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11.º</w:t>
            </w:r>
          </w:p>
        </w:tc>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Portaria n.º 146/2017</w:t>
            </w:r>
          </w:p>
        </w:tc>
        <w:tc>
          <w:tcPr>
            <w:tcW w:type="dxa" w:w="430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Abate e eutanásia — elenco taxativo</w:t>
            </w:r>
          </w:p>
        </w:tc>
      </w:tr>
      <w:tr>
        <w:trPr>
          <w:cantSplit/>
        </w:trPr>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2.º, n.º 1, al. c)</w:t>
            </w:r>
          </w:p>
        </w:tc>
        <w:tc>
          <w:tcPr>
            <w:tcW w:type="dxa" w:w="260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276/2001</w:t>
            </w:r>
          </w:p>
        </w:tc>
        <w:tc>
          <w:tcPr>
            <w:tcW w:type="dxa" w:w="430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Definição de animal vadio ou errante</w:t>
            </w:r>
          </w:p>
        </w:tc>
      </w:tr>
      <w:tr>
        <w:trPr>
          <w:cantSplit/>
        </w:trPr>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6.º-A</w:t>
            </w:r>
          </w:p>
        </w:tc>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276/2001</w:t>
            </w:r>
          </w:p>
        </w:tc>
        <w:tc>
          <w:tcPr>
            <w:tcW w:type="dxa" w:w="430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Abandono</w:t>
            </w:r>
          </w:p>
        </w:tc>
      </w:tr>
      <w:tr>
        <w:trPr>
          <w:cantSplit/>
        </w:trPr>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3.º, al. a) e f)</w:t>
            </w:r>
          </w:p>
        </w:tc>
        <w:tc>
          <w:tcPr>
            <w:tcW w:type="dxa" w:w="260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82/2019</w:t>
            </w:r>
          </w:p>
        </w:tc>
        <w:tc>
          <w:tcPr>
            <w:tcW w:type="dxa" w:w="430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Detentor e titular</w:t>
            </w:r>
          </w:p>
        </w:tc>
      </w:tr>
      <w:tr>
        <w:trPr>
          <w:cantSplit/>
        </w:trPr>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5.º, n.º 1</w:t>
            </w:r>
          </w:p>
        </w:tc>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82/2019</w:t>
            </w:r>
          </w:p>
        </w:tc>
        <w:tc>
          <w:tcPr>
            <w:tcW w:type="dxa" w:w="430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Prazo de 120 dias para identificação e registo</w:t>
            </w:r>
          </w:p>
        </w:tc>
      </w:tr>
      <w:tr>
        <w:trPr>
          <w:cantSplit/>
        </w:trPr>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11.º, n.º 5</w:t>
            </w:r>
          </w:p>
        </w:tc>
        <w:tc>
          <w:tcPr>
            <w:tcW w:type="dxa" w:w="260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82/2019</w:t>
            </w:r>
          </w:p>
        </w:tc>
        <w:tc>
          <w:tcPr>
            <w:tcW w:type="dxa" w:w="430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Registo dos animais de CRO não reclamados</w:t>
            </w:r>
          </w:p>
        </w:tc>
      </w:tr>
      <w:tr>
        <w:trPr>
          <w:cantSplit/>
        </w:trPr>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17.º, n.º 2</w:t>
            </w:r>
          </w:p>
        </w:tc>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82/2019</w:t>
            </w:r>
          </w:p>
        </w:tc>
        <w:tc>
          <w:tcPr>
            <w:tcW w:type="dxa" w:w="430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Isenção de taxa para CRO e associações zoófilas</w:t>
            </w:r>
          </w:p>
        </w:tc>
      </w:tr>
      <w:tr>
        <w:trPr>
          <w:cantSplit/>
        </w:trPr>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3.º, n.º 2</w:t>
            </w:r>
          </w:p>
        </w:tc>
        <w:tc>
          <w:tcPr>
            <w:tcW w:type="dxa" w:w="260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314/2003</w:t>
            </w:r>
          </w:p>
        </w:tc>
        <w:tc>
          <w:tcPr>
            <w:tcW w:type="dxa" w:w="430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Parecer vinculativo do médico veterinário municipal</w:t>
            </w:r>
          </w:p>
        </w:tc>
      </w:tr>
      <w:tr>
        <w:trPr>
          <w:cantSplit/>
        </w:trPr>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493.º</w:t>
            </w:r>
          </w:p>
        </w:tc>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Código Civil</w:t>
            </w:r>
          </w:p>
        </w:tc>
        <w:tc>
          <w:tcPr>
            <w:tcW w:type="dxa" w:w="430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Danos causados por animais — dever de vigilância</w:t>
            </w:r>
          </w:p>
        </w:tc>
      </w:tr>
      <w:tr>
        <w:trPr>
          <w:cantSplit/>
        </w:trPr>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8.º, n.º 1</w:t>
            </w:r>
          </w:p>
        </w:tc>
        <w:tc>
          <w:tcPr>
            <w:tcW w:type="dxa" w:w="260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RSBEAMS de Setúbal</w:t>
            </w:r>
          </w:p>
        </w:tc>
        <w:tc>
          <w:tcPr>
            <w:tcW w:type="dxa" w:w="430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Proibição de alimentar errantes; cartão de cuidador</w:t>
            </w:r>
          </w:p>
        </w:tc>
      </w:tr>
      <w:tr>
        <w:trPr>
          <w:cantSplit/>
        </w:trPr>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59.º</w:t>
            </w:r>
          </w:p>
        </w:tc>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RSBEAMS de Setúbal</w:t>
            </w:r>
          </w:p>
        </w:tc>
        <w:tc>
          <w:tcPr>
            <w:tcW w:type="dxa" w:w="430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Programa CED municipal</w:t>
            </w:r>
          </w:p>
        </w:tc>
      </w:tr>
      <w:tr>
        <w:trPr>
          <w:cantSplit/>
        </w:trPr>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57.º, n.º 5</w:t>
            </w:r>
          </w:p>
        </w:tc>
        <w:tc>
          <w:tcPr>
            <w:tcW w:type="dxa" w:w="260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RSBEAMS de Setúbal</w:t>
            </w:r>
          </w:p>
        </w:tc>
        <w:tc>
          <w:tcPr>
            <w:tcW w:type="dxa" w:w="430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CROAC não aceita ninhadas sem autonomia</w:t>
            </w:r>
          </w:p>
        </w:tc>
      </w:tr>
    </w:tbl>
    <w:p>
      <w:pPr>
        <w:spacing w:before="40" w:after="180" w:line="293" w:lineRule="auto"/>
      </w:pPr>
    </w:p>
    <w:sectPr w:rsidR="00FC693F" w:rsidRPr="0006063C" w:rsidSect="00034616">
      <w:headerReference w:type="default" r:id="rId9"/>
      <w:footerReference w:type="default" r:id="rId10"/>
      <w:pgSz w:w="11906" w:h="16838"/>
      <w:pgMar w:top="1304" w:right="1247" w:bottom="1191"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93" w:lineRule="auto"/>
      <w:jc w:val="right"/>
    </w:pPr>
    <w:r>
      <w:rPr>
        <w:rFonts w:ascii="Aptos" w:hAnsi="Aptos" w:cs="Aptos" w:eastAsia="Aptos"/>
        <w:b w:val="0"/>
        <w:i w:val="0"/>
        <w:color w:val="7C8894"/>
        <w:sz w:val="16"/>
      </w:rPr>
    </w:r>
    <w:fldSimple w:instr="PAGE">
      <w:r>
        <w:rPr>
          <w:sz w:val="16"/>
          <w:color w:val="7C8894"/>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93" w:lineRule="auto"/>
      <w:jc w:val="right"/>
    </w:pPr>
    <w:r>
      <w:rPr>
        <w:rFonts w:ascii="Aptos" w:hAnsi="Aptos" w:cs="Aptos" w:eastAsia="Aptos"/>
        <w:b w:val="0"/>
        <w:i w:val="0"/>
        <w:color w:val="7C8894"/>
        <w:sz w:val="15"/>
      </w:rPr>
      <w:t>Reflexões sobre o CED · zonas cinzentas do regime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Aptos" w:hAnsi="Aptos" w:cs="Aptos" w:eastAsia="Aptos"/>
      <w:color w:val="2B2B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