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93" w:lineRule="auto"/>
      </w:pPr>
      <w:r>
        <w:rPr>
          <w:rFonts w:ascii="Aptos" w:hAnsi="Aptos" w:cs="Aptos" w:eastAsia="Aptos"/>
          <w:b/>
          <w:i w:val="0"/>
          <w:color w:val="5C7891"/>
          <w:spacing w:val="50"/>
          <w:sz w:val="17"/>
        </w:rPr>
        <w:t>ANEXO DE JURISPRUDÊNCIA E DOUTRINA</w:t>
      </w:r>
    </w:p>
    <w:p>
      <w:pPr>
        <w:spacing w:before="0" w:after="40" w:line="293" w:lineRule="auto"/>
      </w:pPr>
      <w:r>
        <w:rPr>
          <w:rFonts w:ascii="Aptos" w:hAnsi="Aptos" w:cs="Aptos" w:eastAsia="Aptos"/>
          <w:b/>
          <w:i w:val="0"/>
          <w:color w:val="35506B"/>
          <w:sz w:val="42"/>
        </w:rPr>
        <w:t>Delimitação entre o Decreto-Lei n.º 314/2003 e o Decreto-Lei n.º 276/2001</w:t>
      </w:r>
    </w:p>
    <w:p>
      <w:pPr>
        <w:spacing w:before="0" w:after="200" w:line="293" w:lineRule="auto"/>
      </w:pPr>
      <w:r>
        <w:rPr>
          <w:rFonts w:ascii="Aptos" w:hAnsi="Aptos" w:cs="Aptos" w:eastAsia="Aptos"/>
          <w:b w:val="0"/>
          <w:i w:val="0"/>
          <w:color w:val="5C7891"/>
          <w:sz w:val="22"/>
        </w:rPr>
        <w:t>Elementos jurisprudenciais, doutrinais e de prática administrativa recolhidos sobre a aplicação do artigo 3.º, incluindo os de sentido divergente</w:t>
      </w:r>
    </w:p>
    <w:p>
      <w:pPr>
        <w:pBdr>
          <w:bottom w:val="single" w:sz="8" w:space="1" w:color="A9C2D8"/>
        </w:pBdr>
        <w:spacing w:before="0" w:after="120" w:line="40" w:lineRule="exact"/>
      </w:pPr>
    </w:p>
    <w:p>
      <w:pPr>
        <w:spacing w:before="0" w:after="280" w:line="293" w:lineRule="auto"/>
      </w:pPr>
      <w:r>
        <w:rPr>
          <w:rFonts w:ascii="Aptos" w:hAnsi="Aptos" w:cs="Aptos" w:eastAsia="Aptos"/>
          <w:b w:val="0"/>
          <w:i w:val="0"/>
          <w:color w:val="7C8894"/>
          <w:sz w:val="17"/>
        </w:rPr>
        <w:t>Direção-Geral de Alimentação e Veterinária   ·   setembro de 2026</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C9D2DA"/>
              <w:bottom w:val="nil"/>
              <w:right w:val="nil"/>
            </w:tcBorders>
            <w:shd w:val="clear" w:color="auto" w:fill="F6F7F8"/>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18"/>
              </w:rPr>
              <w:t>Este anexo reúne o material externo recolhido sobre a aplicação do artigo 3.º do Decreto-Lei n.º 314/2003 — genealogia da norma, jurisprudência constitucional, administrativa e comum, doutrina e prática administrativa. Serve de suporte documental ao anexo de delimitação e segue o mesmo critério: os elementos que apontam em sentido divergente da conclusão são aqui transcritos e discutidos, e não remetidos para nota de rodapé. A pesquisa cobriu a base de dados dgsi.pt em todas as bases disponíveis e a jurisprudência do Tribunal Constitucional. Os limites do método constam do ponto 11.</w:t>
            </w:r>
          </w:p>
        </w:tc>
      </w:tr>
    </w:tbl>
    <w:p>
      <w:pPr>
        <w:spacing w:before="0" w:after="180" w:line="293" w:lineRule="auto"/>
      </w:pPr>
    </w:p>
    <w:p>
      <w:pPr>
        <w:keepNext/>
        <w:spacing w:before="360" w:after="40" w:line="293" w:lineRule="auto"/>
      </w:pPr>
      <w:r>
        <w:rPr>
          <w:rFonts w:ascii="Aptos" w:hAnsi="Aptos" w:cs="Aptos" w:eastAsia="Aptos"/>
          <w:b/>
          <w:i w:val="0"/>
          <w:color w:val="5C7891"/>
          <w:sz w:val="27"/>
        </w:rPr>
        <w:t xml:space="preserve">1.  </w:t>
      </w:r>
      <w:r>
        <w:rPr>
          <w:rFonts w:ascii="Aptos" w:hAnsi="Aptos" w:cs="Aptos" w:eastAsia="Aptos"/>
          <w:b/>
          <w:i w:val="0"/>
          <w:color w:val="35506B"/>
          <w:sz w:val="27"/>
        </w:rPr>
        <w:t>Genealogia da norma</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O artigo 3.º do Decreto-Lei n.º 314/2003 não é norma inovadora. Descende do artigo 10.º do Decreto-Lei n.º 317/85, de 2 de agosto, inserido no capítulo respeitante aos cães, secção do alojamento, do então Programa Nacional de Luta e Vigilância Epidemiológica da Raiva Animal. A epígrafe do preceito era, e é elucidativa: «Remoção dos animais por decisão camarária; processo aplicável».</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A permanência de cães em habitações situadas em zonas urbanas fica condicionada à existência de boas condições de alojamento dos mesmos, ausência de riscos sob o aspecto sanitário e inexistência nestes animais de doenças transmissíveis ao homem.</w:t>
            </w:r>
          </w:p>
          <w:p>
            <w:pPr>
              <w:spacing w:before="0" w:after="80" w:line="293" w:lineRule="auto"/>
              <w:jc w:val="both"/>
            </w:pPr>
            <w:r>
              <w:rPr>
                <w:rFonts w:ascii="Aptos" w:hAnsi="Aptos" w:cs="Aptos" w:eastAsia="Aptos"/>
                <w:b w:val="0"/>
                <w:i/>
                <w:color w:val="2B2B2B"/>
                <w:sz w:val="19"/>
              </w:rPr>
              <w:t>2 — As câmaras municipais, sempre que razões de salubridade ou tranquilidade da vizinhança o imponham, poderão determinar a remoção de quaisquer cães ou outros animais de companhia.</w:t>
            </w:r>
          </w:p>
          <w:p>
            <w:pPr>
              <w:spacing w:before="0" w:after="0" w:line="293" w:lineRule="auto"/>
              <w:jc w:val="both"/>
            </w:pPr>
            <w:r>
              <w:rPr>
                <w:rFonts w:ascii="Aptos" w:hAnsi="Aptos" w:cs="Aptos" w:eastAsia="Aptos"/>
                <w:b w:val="0"/>
                <w:i/>
                <w:color w:val="2B2B2B"/>
                <w:sz w:val="19"/>
              </w:rPr>
              <w:t>3 — A câmara municipal competente, confirmada a existência de situações referidas no número anterior, notificará o dono ou detentor dos animais para a remoção dos mesmos no prazo de 8 dias.</w:t>
            </w:r>
          </w:p>
          <w:p>
            <w:pPr>
              <w:spacing w:before="120" w:after="0" w:line="293" w:lineRule="auto"/>
            </w:pPr>
            <w:r>
              <w:rPr>
                <w:rFonts w:ascii="Aptos" w:hAnsi="Aptos" w:cs="Aptos" w:eastAsia="Aptos"/>
                <w:b w:val="0"/>
                <w:i w:val="0"/>
                <w:color w:val="7C8894"/>
                <w:sz w:val="15"/>
              </w:rPr>
              <w:t>N.os 1 a 3 do artigo 10.º do Decreto-Lei n.º 317/85, de 2 de agosto, transcritos no Acórdão do Tribunal Constitucional n.º 158/95</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 xml:space="preserve">A unidade de referência era a </w:t>
      </w:r>
      <w:r>
        <w:rPr>
          <w:rFonts w:ascii="Aptos" w:hAnsi="Aptos" w:cs="Aptos" w:eastAsia="Aptos"/>
          <w:b/>
          <w:i w:val="0"/>
          <w:color w:val="2B2B2B"/>
          <w:sz w:val="20"/>
        </w:rPr>
        <w:t>habitação</w:t>
      </w:r>
      <w:r>
        <w:rPr>
          <w:rFonts w:ascii="Aptos" w:hAnsi="Aptos" w:cs="Aptos" w:eastAsia="Aptos"/>
          <w:b w:val="0"/>
          <w:i w:val="0"/>
          <w:color w:val="2B2B2B"/>
          <w:sz w:val="20"/>
        </w:rPr>
        <w:t>. O Decreto-Lei n.º 314/2003 substituiu-a por «prédios urbanos, rústicos ou mistos» e acrescentou os limites numéricos, sem alterar a natureza da norma nem a sua inserção sistemática. O Tribunal Constitucional situou o preceito no diploma que visou «englobar num único diploma as normas a que deve submeter-se a profilaxia médica da raiva e as medidas de polícia sanitária».</w:t>
      </w:r>
    </w:p>
    <w:p>
      <w:pPr>
        <w:keepNext/>
        <w:spacing w:before="360" w:after="40" w:line="293" w:lineRule="auto"/>
      </w:pPr>
      <w:r>
        <w:rPr>
          <w:rFonts w:ascii="Aptos" w:hAnsi="Aptos" w:cs="Aptos" w:eastAsia="Aptos"/>
          <w:b/>
          <w:i w:val="0"/>
          <w:color w:val="5C7891"/>
          <w:sz w:val="27"/>
        </w:rPr>
        <w:t xml:space="preserve">2.  </w:t>
      </w:r>
      <w:r>
        <w:rPr>
          <w:rFonts w:ascii="Aptos" w:hAnsi="Aptos" w:cs="Aptos" w:eastAsia="Aptos"/>
          <w:b/>
          <w:i w:val="0"/>
          <w:color w:val="35506B"/>
          <w:sz w:val="27"/>
        </w:rPr>
        <w:t>Tribunal Constitucional</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A qualificação da decisão camarária de remoção está fixada há quarenta anos, e uma das decisões tem força obrigatória geral.</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4706"/>
        <w:gridCol w:w="4706"/>
      </w:tblGrid>
      <w:tr>
        <w:trPr>
          <w:cantSplit/>
          <w:tblHeader/>
        </w:trPr>
        <w:tc>
          <w:tcPr>
            <w:tcW w:type="dxa" w:w="2494"/>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Acórdão</w:t>
            </w:r>
          </w:p>
        </w:tc>
        <w:tc>
          <w:tcPr>
            <w:tcW w:type="dxa" w:w="6917"/>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Objeto e sentido</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158/95</w:t>
            </w:r>
          </w:p>
          <w:p>
            <w:pPr>
              <w:spacing w:before="0" w:after="40" w:line="274" w:lineRule="auto"/>
            </w:pPr>
            <w:r>
              <w:rPr>
                <w:rFonts w:ascii="Aptos" w:hAnsi="Aptos" w:cs="Aptos" w:eastAsia="Aptos"/>
                <w:b w:val="0"/>
                <w:i w:val="0"/>
                <w:color w:val="2B2B2B"/>
                <w:sz w:val="17"/>
              </w:rPr>
              <w:t>2.ª Secção</w:t>
            </w:r>
          </w:p>
          <w:p>
            <w:pPr>
              <w:spacing w:before="0" w:after="40" w:line="274" w:lineRule="auto"/>
            </w:pPr>
            <w:r>
              <w:rPr>
                <w:rFonts w:ascii="Aptos" w:hAnsi="Aptos" w:cs="Aptos" w:eastAsia="Aptos"/>
                <w:b w:val="0"/>
                <w:i w:val="0"/>
                <w:color w:val="2B2B2B"/>
                <w:sz w:val="17"/>
              </w:rPr>
              <w:t>Rel. Guilherme da Fonseca</w:t>
            </w:r>
          </w:p>
        </w:tc>
        <w:tc>
          <w:tcPr>
            <w:tcW w:type="dxa" w:w="691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Inconstitucionalidade orgânica do n.º 4 do artigo 10.º do Decreto-Lei n.º 317/85, na parte em que atribuía ao tribunal judicial a competência para conhecer do recurso. Qualifica a decisão camarária como ato administrativo.</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N.os 190/95 e 193/95</w:t>
            </w:r>
          </w:p>
        </w:tc>
        <w:tc>
          <w:tcPr>
            <w:tcW w:type="dxa" w:w="691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Remetem integralmente para o Acórdão n.º 158/95.</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579/95</w:t>
            </w:r>
          </w:p>
          <w:p>
            <w:pPr>
              <w:spacing w:before="0" w:after="40" w:line="274" w:lineRule="auto"/>
            </w:pPr>
            <w:r>
              <w:rPr>
                <w:rFonts w:ascii="Aptos" w:hAnsi="Aptos" w:cs="Aptos" w:eastAsia="Aptos"/>
                <w:b w:val="0"/>
                <w:i w:val="0"/>
                <w:color w:val="2B2B2B"/>
                <w:sz w:val="17"/>
              </w:rPr>
              <w:t>Plenário</w:t>
            </w:r>
          </w:p>
          <w:p>
            <w:pPr>
              <w:spacing w:before="0" w:after="40" w:line="274" w:lineRule="auto"/>
            </w:pPr>
            <w:r>
              <w:rPr>
                <w:rFonts w:ascii="Aptos" w:hAnsi="Aptos" w:cs="Aptos" w:eastAsia="Aptos"/>
                <w:b w:val="0"/>
                <w:i w:val="0"/>
                <w:color w:val="2B2B2B"/>
                <w:sz w:val="17"/>
              </w:rPr>
              <w:t>Rel. Maria Fernanda Palma</w:t>
            </w:r>
          </w:p>
        </w:tc>
        <w:tc>
          <w:tcPr>
            <w:tcW w:type="dxa" w:w="691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i w:val="0"/>
                <w:color w:val="2B2B2B"/>
                <w:sz w:val="17"/>
              </w:rPr>
              <w:t>Declaração de inconstitucionalidade com força obrigatória geral</w:t>
            </w:r>
            <w:r>
              <w:rPr>
                <w:rFonts w:ascii="Aptos" w:hAnsi="Aptos" w:cs="Aptos" w:eastAsia="Aptos"/>
                <w:b w:val="0"/>
                <w:i w:val="0"/>
                <w:color w:val="2B2B2B"/>
                <w:sz w:val="17"/>
              </w:rPr>
              <w:t xml:space="preserve"> da mesma norma.</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229/2007</w:t>
            </w:r>
          </w:p>
          <w:p>
            <w:pPr>
              <w:spacing w:before="0" w:after="40" w:line="274" w:lineRule="auto"/>
            </w:pPr>
            <w:r>
              <w:rPr>
                <w:rFonts w:ascii="Aptos" w:hAnsi="Aptos" w:cs="Aptos" w:eastAsia="Aptos"/>
                <w:b w:val="0"/>
                <w:i w:val="0"/>
                <w:color w:val="2B2B2B"/>
                <w:sz w:val="17"/>
              </w:rPr>
              <w:t>2.ª Secção</w:t>
            </w:r>
          </w:p>
          <w:p>
            <w:pPr>
              <w:spacing w:before="0" w:after="40" w:line="274" w:lineRule="auto"/>
            </w:pPr>
            <w:r>
              <w:rPr>
                <w:rFonts w:ascii="Aptos" w:hAnsi="Aptos" w:cs="Aptos" w:eastAsia="Aptos"/>
                <w:b w:val="0"/>
                <w:i w:val="0"/>
                <w:color w:val="2B2B2B"/>
                <w:sz w:val="17"/>
              </w:rPr>
              <w:t>Rel. Maria Fernanda Palma</w:t>
            </w:r>
          </w:p>
        </w:tc>
        <w:tc>
          <w:tcPr>
            <w:tcW w:type="dxa" w:w="691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Mesma solução quanto ao n.º 6 do artigo 3.º do Decreto-Lei n.º 314/2003.</w:t>
            </w:r>
          </w:p>
        </w:tc>
      </w:tr>
    </w:tbl>
    <w:p>
      <w:pPr>
        <w:spacing w:before="40" w:after="180" w:line="293" w:lineRule="auto"/>
      </w:pPr>
    </w:p>
    <w:p>
      <w:pPr>
        <w:spacing w:before="0" w:after="140" w:line="293" w:lineRule="auto"/>
        <w:jc w:val="both"/>
      </w:pPr>
      <w:r>
        <w:rPr>
          <w:rFonts w:ascii="Aptos" w:hAnsi="Aptos" w:cs="Aptos" w:eastAsia="Aptos"/>
          <w:b w:val="0"/>
          <w:i w:val="0"/>
          <w:color w:val="2B2B2B"/>
          <w:sz w:val="20"/>
        </w:rPr>
        <w:t>O fundamento é constante e respeita ao bem jurídico protegido.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A decisão camarária é caracterizável como acto administrativo na medida em que há aí um comando de um órgão autárquico, prosseguindo e realizando interesses públicos relativamente à remoção de um animal de raça canina, com efeitos jurídicos sobre uma situação individual e num caso concreto.</w:t>
            </w:r>
          </w:p>
          <w:p>
            <w:pPr>
              <w:spacing w:before="120" w:after="0" w:line="293" w:lineRule="auto"/>
            </w:pPr>
            <w:r>
              <w:rPr>
                <w:rFonts w:ascii="Aptos" w:hAnsi="Aptos" w:cs="Aptos" w:eastAsia="Aptos"/>
                <w:b w:val="0"/>
                <w:i w:val="0"/>
                <w:color w:val="7C8894"/>
                <w:sz w:val="15"/>
              </w:rPr>
              <w:t>Acórdão do Tribunal Constitucional n.º 158/95, transcrito no Acórdão n.º 229/2007</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[A norma] ao prever que «as razões de salubridade ou tranquilidade da vizinhança» (…) são fundamento da decisão camarária de remoção dos animais em causa, integra uma tal decisão no âmbito (…) das atribuições cometidas às câmaras (…). A tranquilidade da vizinhança ou a qualidade de vida em que pode interferir a instalação de animais em habitações sem as devidas condições (…)</w:t>
            </w:r>
          </w:p>
          <w:p>
            <w:pPr>
              <w:spacing w:before="120" w:after="0" w:line="293" w:lineRule="auto"/>
            </w:pPr>
            <w:r>
              <w:rPr>
                <w:rFonts w:ascii="Aptos" w:hAnsi="Aptos" w:cs="Aptos" w:eastAsia="Aptos"/>
                <w:b w:val="0"/>
                <w:i w:val="0"/>
                <w:color w:val="7C8894"/>
                <w:sz w:val="15"/>
              </w:rPr>
              <w:t>Acórdão do Tribunal Constitucional n.º 579/95, transcrito no Acórdão n.º 229/2007</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O que está em causa é polícia sanitária municipal sobre a detenção doméstica. Em nenhuma das decisões o preceito é associado ao acesso a uma atividade económica, ao licenciamento de estabelecimentos ou à competência da autoridade veterinária nacional.</w:t>
      </w:r>
    </w:p>
    <w:p>
      <w:pPr>
        <w:keepNext/>
        <w:spacing w:before="360" w:after="40" w:line="293" w:lineRule="auto"/>
      </w:pPr>
      <w:r>
        <w:rPr>
          <w:rFonts w:ascii="Aptos" w:hAnsi="Aptos" w:cs="Aptos" w:eastAsia="Aptos"/>
          <w:b/>
          <w:i w:val="0"/>
          <w:color w:val="5C7891"/>
          <w:sz w:val="27"/>
        </w:rPr>
        <w:t xml:space="preserve">3.  </w:t>
      </w:r>
      <w:r>
        <w:rPr>
          <w:rFonts w:ascii="Aptos" w:hAnsi="Aptos" w:cs="Aptos" w:eastAsia="Aptos"/>
          <w:b/>
          <w:i w:val="0"/>
          <w:color w:val="35506B"/>
          <w:sz w:val="27"/>
        </w:rPr>
        <w:t>Jurisprudência administrativa</w:t>
      </w:r>
    </w:p>
    <w:p>
      <w:pPr>
        <w:keepNext/>
        <w:pBdr>
          <w:bottom w:val="single" w:sz="4" w:space="1" w:color="D7DEE5"/>
        </w:pBdr>
        <w:spacing w:before="0" w:after="160" w:line="40" w:lineRule="exact"/>
      </w:pPr>
    </w:p>
    <w:p>
      <w:pPr>
        <w:keepNext/>
        <w:spacing w:before="260" w:after="80" w:line="293" w:lineRule="auto"/>
      </w:pPr>
      <w:r>
        <w:rPr>
          <w:rFonts w:ascii="Aptos" w:hAnsi="Aptos" w:cs="Aptos" w:eastAsia="Aptos"/>
          <w:b/>
          <w:i w:val="0"/>
          <w:color w:val="7C8894"/>
          <w:sz w:val="21"/>
        </w:rPr>
        <w:t xml:space="preserve">3.1  </w:t>
      </w:r>
      <w:r>
        <w:rPr>
          <w:rFonts w:ascii="Aptos" w:hAnsi="Aptos" w:cs="Aptos" w:eastAsia="Aptos"/>
          <w:b/>
          <w:i w:val="0"/>
          <w:color w:val="35506B"/>
          <w:sz w:val="21"/>
        </w:rPr>
        <w:t>O caso dos quarenta e cinco cães</w:t>
      </w:r>
    </w:p>
    <w:p>
      <w:pPr>
        <w:spacing w:before="0" w:after="140" w:line="293" w:lineRule="auto"/>
        <w:jc w:val="both"/>
      </w:pPr>
      <w:r>
        <w:rPr>
          <w:rFonts w:ascii="Aptos" w:hAnsi="Aptos" w:cs="Aptos" w:eastAsia="Aptos"/>
          <w:b w:val="0"/>
          <w:i w:val="0"/>
          <w:color w:val="2B2B2B"/>
          <w:sz w:val="20"/>
        </w:rPr>
        <w:t>O acórdão do Tribunal Central Administrativo Sul de 4 de fevereiro de 2010, processo n.º 04784/09, relatado por Rui Pereira, é o mais próximo da questão. Fixa a natureza da norma.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I – A posse de animais [cães ou gatos] em qualquer número em prédios urbanos, rústicos ou mistos, nos termos do n.º 1 do artigo 3.º do DL n.º 314/2003, de 17/12, depende da existência de uma situação de salubridade ambiental, com vista a evitar um perigo para a saúde pública.</w:t>
            </w:r>
          </w:p>
          <w:p>
            <w:pPr>
              <w:spacing w:before="120" w:after="0" w:line="293" w:lineRule="auto"/>
            </w:pPr>
            <w:r>
              <w:rPr>
                <w:rFonts w:ascii="Aptos" w:hAnsi="Aptos" w:cs="Aptos" w:eastAsia="Aptos"/>
                <w:b w:val="0"/>
                <w:i w:val="0"/>
                <w:color w:val="7C8894"/>
                <w:sz w:val="15"/>
              </w:rPr>
              <w:t>Sumário do Acórdão do TCA Sul de 4 de fevereiro de 2010, processo n.º 04784/09</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O caso tem valor demonstrativo próprio. Estava em causa uma detentora que mantinha cerca de quarenta e cinco cães no quintal da sua residência. A Administração atuou exclusivamente ao abrigo do artigo 3.º do diploma da raiva.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Considerando: — Que M…, residente no lote …, possui ilegalmente no quintal da sua residência aproximadamente 45 cães; — Que foram realizadas vistorias pelo Delegado de Saúde e pelo Médico Veterinário Municipal; — Que, no dia 16 de Setembro de 2005, se realizou uma vistoria conjunta (…) que concluíram existir uma situação de insalubridade ambiental, causadora de maus cheiros e proliferação de insectos vectores de doenças, constituindo tal facto um perigo para a saúde pública; (…) Ordeno, nos termos do n.º 5 do artigo 3.º do Decreto-Lei n.º 314/2003, de 17 de Dezembro, (…) que M… proceda à remoção para o canil municipal ou para outro destino que reúna as condições estabelecidas neste diploma legal (…) de todos os cães que se encontrem na sua residência, para além do limite imposto por lei [seis cães].</w:t>
            </w:r>
          </w:p>
          <w:p>
            <w:pPr>
              <w:spacing w:before="120" w:after="0" w:line="293" w:lineRule="auto"/>
            </w:pPr>
            <w:r>
              <w:rPr>
                <w:rFonts w:ascii="Aptos" w:hAnsi="Aptos" w:cs="Aptos" w:eastAsia="Aptos"/>
                <w:b w:val="0"/>
                <w:i w:val="0"/>
                <w:color w:val="7C8894"/>
                <w:sz w:val="15"/>
              </w:rPr>
              <w:t>Despacho do Presidente da Câmara Municipal de 2 de janeiro de 2006, transcrito no Acórdão do TCA Sul, processo n.º 04784/09</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Em todo o processo — despacho municipal, decisão de primeira instância e acórdão — </w:t>
            </w:r>
            <w:r>
              <w:rPr>
                <w:rFonts w:ascii="Aptos" w:hAnsi="Aptos" w:cs="Aptos" w:eastAsia="Aptos"/>
                <w:b/>
                <w:i w:val="0"/>
                <w:color w:val="2B2B2B"/>
                <w:sz w:val="20"/>
              </w:rPr>
              <w:t>o Decreto-Lei n.º 276/2001 não é mencionado uma única vez</w:t>
            </w:r>
            <w:r>
              <w:rPr>
                <w:rFonts w:ascii="Aptos" w:hAnsi="Aptos" w:cs="Aptos" w:eastAsia="Aptos"/>
                <w:b w:val="0"/>
                <w:i w:val="0"/>
                <w:color w:val="2B2B2B"/>
                <w:sz w:val="20"/>
              </w:rPr>
              <w:t>. Perante quarenta e cinco cães, nem a Administração nem os tribunais equacionaram a existência de um alojamento sujeito a título de acesso. O caso foi tratado, do princípio ao fim, como detenção doméstica insalubre.</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3.2  </w:t>
      </w:r>
      <w:r>
        <w:rPr>
          <w:rFonts w:ascii="Aptos" w:hAnsi="Aptos" w:cs="Aptos" w:eastAsia="Aptos"/>
          <w:b/>
          <w:i w:val="0"/>
          <w:color w:val="35506B"/>
          <w:sz w:val="21"/>
        </w:rPr>
        <w:t>A unicidade do meio de reação</w:t>
      </w:r>
    </w:p>
    <w:p>
      <w:pPr>
        <w:spacing w:before="0" w:after="140" w:line="293" w:lineRule="auto"/>
        <w:jc w:val="both"/>
      </w:pPr>
      <w:r>
        <w:rPr>
          <w:rFonts w:ascii="Aptos" w:hAnsi="Aptos" w:cs="Aptos" w:eastAsia="Aptos"/>
          <w:b w:val="0"/>
          <w:i w:val="0"/>
          <w:color w:val="2B2B2B"/>
          <w:sz w:val="20"/>
        </w:rPr>
        <w:t>O acórdão do Tribunal da Relação de Évora de 18 de abril de 2013, processo n.º 78/12, relatado por Elisabete Valente, respeitava a uma detentora com dez cães na habitação e quintal anexo. O Ministério Público intentara ação cível pedindo que se abstivesse de deter mais de três.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 Deve recorrer-se aos mecanismos previstos no Decreto-Lei n.º 314/2003, de 17 de Dezembro, para pôr fim à situação em que um particular detenha na sua habitação e quintal anexo mais do que 3 canídeos, sem as condições de mínimas de higiene e salubridade para tal.</w:t>
            </w:r>
          </w:p>
          <w:p>
            <w:pPr>
              <w:spacing w:before="0" w:after="0" w:line="293" w:lineRule="auto"/>
              <w:jc w:val="both"/>
            </w:pPr>
            <w:r>
              <w:rPr>
                <w:rFonts w:ascii="Aptos" w:hAnsi="Aptos" w:cs="Aptos" w:eastAsia="Aptos"/>
                <w:b w:val="0"/>
                <w:i/>
                <w:color w:val="2B2B2B"/>
                <w:sz w:val="19"/>
              </w:rPr>
              <w:t>– É competente o Tribunal Administrativo para conhecer de recurso no âmbito desse DL, pois a decisão para a remoção de animais, tendo em conta a saúde pública, é um acto administrativo.</w:t>
            </w:r>
          </w:p>
          <w:p>
            <w:pPr>
              <w:spacing w:before="120" w:after="0" w:line="293" w:lineRule="auto"/>
            </w:pPr>
            <w:r>
              <w:rPr>
                <w:rFonts w:ascii="Aptos" w:hAnsi="Aptos" w:cs="Aptos" w:eastAsia="Aptos"/>
                <w:b w:val="0"/>
                <w:i w:val="0"/>
                <w:color w:val="7C8894"/>
                <w:sz w:val="15"/>
              </w:rPr>
              <w:t>Sumário do Acórdão do TRE de 18 de abril de 2013, processo n.º 78/12</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No corpo da decisão o tribunal é ainda mais assertivo quanto ao caráter fechado do mecanismo: «A situação está legalmente prevista no DL e o meio de reacção é só um, aquele que a lei prevê e que supra descrevemos.» O regime do artigo 3.º tem via própria, exclusiva e administrativa: vistoria conjunta do delegado de saúde e do médico veterinário municipal, notificação do detentor, remoção para o canil municipal, sindicância nos tribunais administrativos.</w:t>
      </w:r>
    </w:p>
    <w:p>
      <w:pPr>
        <w:keepNext/>
        <w:spacing w:before="260" w:after="80" w:line="293" w:lineRule="auto"/>
      </w:pPr>
      <w:r>
        <w:rPr>
          <w:rFonts w:ascii="Aptos" w:hAnsi="Aptos" w:cs="Aptos" w:eastAsia="Aptos"/>
          <w:b/>
          <w:i w:val="0"/>
          <w:color w:val="7C8894"/>
          <w:sz w:val="21"/>
        </w:rPr>
        <w:t xml:space="preserve">3.3  </w:t>
      </w:r>
      <w:r>
        <w:rPr>
          <w:rFonts w:ascii="Aptos" w:hAnsi="Aptos" w:cs="Aptos" w:eastAsia="Aptos"/>
          <w:b/>
          <w:i w:val="0"/>
          <w:color w:val="35506B"/>
          <w:sz w:val="21"/>
        </w:rPr>
        <w:t>Taxonomia judicial dos diplomas</w:t>
      </w:r>
    </w:p>
    <w:p>
      <w:pPr>
        <w:spacing w:before="0" w:after="140" w:line="293" w:lineRule="auto"/>
        <w:jc w:val="both"/>
      </w:pPr>
      <w:r>
        <w:rPr>
          <w:rFonts w:ascii="Aptos" w:hAnsi="Aptos" w:cs="Aptos" w:eastAsia="Aptos"/>
          <w:b w:val="0"/>
          <w:i w:val="0"/>
          <w:color w:val="2B2B2B"/>
          <w:sz w:val="20"/>
        </w:rPr>
        <w:t>O acórdão do Tribunal da Relação de Guimarães de 1 de fevereiro de 2022, processo n.º 4718/18.3T8GMR.G1, relatado por José Amaral, arruma expressamente os diplomas por matéria.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 não é regulada pelo Código da Estrada nem pelos diplomas legais (Decretos-Lei n.º 314/2003, de 17 de Dezembro, n.º 82/2019, de 27 de Junho, e n.º 315/2009, de 29 de Outubro) que tratam das suas condições sanitárias (combate à raiva), do seu rastreio, registo e licenciamento (animais de companhia) ou da criação, reprodução e detenção (animais perigosos).</w:t>
            </w:r>
          </w:p>
          <w:p>
            <w:pPr>
              <w:spacing w:before="120" w:after="0" w:line="293" w:lineRule="auto"/>
            </w:pPr>
            <w:r>
              <w:rPr>
                <w:rFonts w:ascii="Aptos" w:hAnsi="Aptos" w:cs="Aptos" w:eastAsia="Aptos"/>
                <w:b w:val="0"/>
                <w:i w:val="0"/>
                <w:color w:val="7C8894"/>
                <w:sz w:val="15"/>
              </w:rPr>
              <w:t>Acórdão do TRG de 1 de fevereiro de 2022, processo n.º 4718/18.3T8GMR.G1</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O Decreto-Lei n.º 314/2003 é aí identificado, sem hesitação, como o diploma das condições sanitárias de combate à raiva.</w:t>
      </w:r>
    </w:p>
    <w:p>
      <w:pPr>
        <w:keepNext/>
        <w:spacing w:before="360" w:after="40" w:line="293" w:lineRule="auto"/>
      </w:pPr>
      <w:r>
        <w:rPr>
          <w:rFonts w:ascii="Aptos" w:hAnsi="Aptos" w:cs="Aptos" w:eastAsia="Aptos"/>
          <w:b/>
          <w:i w:val="0"/>
          <w:color w:val="5C7891"/>
          <w:sz w:val="27"/>
        </w:rPr>
        <w:t xml:space="preserve">4.  </w:t>
      </w:r>
      <w:r>
        <w:rPr>
          <w:rFonts w:ascii="Aptos" w:hAnsi="Aptos" w:cs="Aptos" w:eastAsia="Aptos"/>
          <w:b/>
          <w:i w:val="0"/>
          <w:color w:val="35506B"/>
          <w:sz w:val="27"/>
        </w:rPr>
        <w:t>Contextos de aplicação do artigo 3.º na jurisprudência comum</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Recolheram-se trinta e três acórdãos das Relações que citam o Decreto-Lei n.º 314/2003. Quando o artigo 3.º é convocado, é sempre em contexto de detenção doméstica, vizinhança ou salubridade. Nenhum o aplica como limiar de capacidade de estabelecimento autorizado.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4706"/>
        <w:gridCol w:w="4706"/>
      </w:tblGrid>
      <w:tr>
        <w:trPr>
          <w:cantSplit/>
          <w:tblHeader/>
        </w:trPr>
        <w:tc>
          <w:tcPr>
            <w:tcW w:type="dxa" w:w="3061"/>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Decisão</w:t>
            </w:r>
          </w:p>
        </w:tc>
        <w:tc>
          <w:tcPr>
            <w:tcW w:type="dxa" w:w="6350"/>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Contexto de aplicação</w:t>
            </w:r>
          </w:p>
        </w:tc>
      </w:tr>
      <w:tr>
        <w:trPr>
          <w:cantSplit/>
        </w:trPr>
        <w:tc>
          <w:tcPr>
            <w:tcW w:type="dxa" w:w="306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TRL, 18.12.2025, proc. 31180/22.3T8LSB.L1-6</w:t>
            </w:r>
          </w:p>
        </w:tc>
        <w:tc>
          <w:tcPr>
            <w:tcW w:type="dxa" w:w="6350"/>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Resolução de contrato de arrendamento por violação de regras de higiene e de boa vizinhança. Arrendatária com três cães e um gato no locado.</w:t>
            </w:r>
          </w:p>
        </w:tc>
      </w:tr>
      <w:tr>
        <w:trPr>
          <w:cantSplit/>
        </w:trPr>
        <w:tc>
          <w:tcPr>
            <w:tcW w:type="dxa" w:w="306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TRC, 13.12.2022, proc. 856/22.6T8GRD.C1</w:t>
            </w:r>
          </w:p>
        </w:tc>
        <w:tc>
          <w:tcPr>
            <w:tcW w:type="dxa" w:w="6350"/>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Tutela da personalidade. Direito ao sossego, à tranquilidade, à saúde e ao sono do vizinho. Ordenada a retirada dos animais.</w:t>
            </w:r>
          </w:p>
        </w:tc>
      </w:tr>
      <w:tr>
        <w:trPr>
          <w:cantSplit/>
        </w:trPr>
        <w:tc>
          <w:tcPr>
            <w:tcW w:type="dxa" w:w="306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TRP, 30.4.2026, proc. 6599/24.9T8MAI.P1</w:t>
            </w:r>
          </w:p>
        </w:tc>
        <w:tc>
          <w:tcPr>
            <w:tcW w:type="dxa" w:w="6350"/>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Direitos de personalidade. Ruído provocado por animal doméstico.</w:t>
            </w:r>
          </w:p>
        </w:tc>
      </w:tr>
      <w:tr>
        <w:trPr>
          <w:cantSplit/>
        </w:trPr>
        <w:tc>
          <w:tcPr>
            <w:tcW w:type="dxa" w:w="306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TRP, 21.11.2016, proc. 3091/15.6T8GDM.P1</w:t>
            </w:r>
          </w:p>
        </w:tc>
        <w:tc>
          <w:tcPr>
            <w:tcW w:type="dxa" w:w="6350"/>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Arrendamento para habitação. Proibição de cães no locado.</w:t>
            </w:r>
          </w:p>
        </w:tc>
      </w:tr>
      <w:tr>
        <w:trPr>
          <w:cantSplit/>
        </w:trPr>
        <w:tc>
          <w:tcPr>
            <w:tcW w:type="dxa" w:w="306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TRG, 19.2.2026, proc. 585/08.3TBPVL.G1</w:t>
            </w:r>
          </w:p>
        </w:tc>
        <w:tc>
          <w:tcPr>
            <w:tcW w:type="dxa" w:w="6350"/>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Ação executiva para prestação de facto. Remoção de canídeos de imóvel adjudicado.</w:t>
            </w:r>
          </w:p>
        </w:tc>
      </w:tr>
      <w:tr>
        <w:trPr>
          <w:cantSplit/>
        </w:trPr>
        <w:tc>
          <w:tcPr>
            <w:tcW w:type="dxa" w:w="306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TRE, 18.4.2013, proc. 78/12</w:t>
            </w:r>
          </w:p>
        </w:tc>
        <w:tc>
          <w:tcPr>
            <w:tcW w:type="dxa" w:w="6350"/>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Competência em razão da matéria. Remoção de animais.</w:t>
            </w:r>
          </w:p>
        </w:tc>
      </w:tr>
      <w:tr>
        <w:trPr>
          <w:cantSplit/>
        </w:trPr>
        <w:tc>
          <w:tcPr>
            <w:tcW w:type="dxa" w:w="306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TCA Sul, 10.10.2013, proc. 10348/13</w:t>
            </w:r>
          </w:p>
        </w:tc>
        <w:tc>
          <w:tcPr>
            <w:tcW w:type="dxa" w:w="6350"/>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Forma processual do mandado judicial para remoção de animais.</w:t>
            </w:r>
          </w:p>
        </w:tc>
      </w:tr>
    </w:tbl>
    <w:p>
      <w:pPr>
        <w:spacing w:before="40" w:after="180" w:line="293" w:lineRule="auto"/>
      </w:pPr>
    </w:p>
    <w:p>
      <w:pPr>
        <w:keepNext/>
        <w:spacing w:before="360" w:after="40" w:line="293" w:lineRule="auto"/>
      </w:pPr>
      <w:r>
        <w:rPr>
          <w:rFonts w:ascii="Aptos" w:hAnsi="Aptos" w:cs="Aptos" w:eastAsia="Aptos"/>
          <w:b/>
          <w:i w:val="0"/>
          <w:color w:val="5C7891"/>
          <w:sz w:val="27"/>
        </w:rPr>
        <w:t xml:space="preserve">5.  </w:t>
      </w:r>
      <w:r>
        <w:rPr>
          <w:rFonts w:ascii="Aptos" w:hAnsi="Aptos" w:cs="Aptos" w:eastAsia="Aptos"/>
          <w:b/>
          <w:i w:val="0"/>
          <w:color w:val="35506B"/>
          <w:sz w:val="27"/>
        </w:rPr>
        <w:t>O plano do estabelecimento</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Quando o litígio respeita a um estabelecimento, os tribunais convocam outro conjunto de normas. O artigo 3.º do diploma da raiva não aparece.</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4706"/>
        <w:gridCol w:w="4706"/>
      </w:tblGrid>
      <w:tr>
        <w:trPr>
          <w:cantSplit/>
          <w:tblHeader/>
        </w:trPr>
        <w:tc>
          <w:tcPr>
            <w:tcW w:type="dxa" w:w="3175"/>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Decisão</w:t>
            </w:r>
          </w:p>
        </w:tc>
        <w:tc>
          <w:tcPr>
            <w:tcW w:type="dxa" w:w="6236"/>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Enquadramento convocado</w:t>
            </w:r>
          </w:p>
        </w:tc>
      </w:tr>
      <w:tr>
        <w:trPr>
          <w:cantSplit/>
        </w:trPr>
        <w:tc>
          <w:tcPr>
            <w:tcW w:type="dxa" w:w="317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STA, 7.3.2006, proc. 0794/05</w:t>
            </w:r>
          </w:p>
          <w:p>
            <w:pPr>
              <w:spacing w:before="0" w:after="40" w:line="274" w:lineRule="auto"/>
            </w:pPr>
            <w:r>
              <w:rPr>
                <w:rFonts w:ascii="Aptos" w:hAnsi="Aptos" w:cs="Aptos" w:eastAsia="Aptos"/>
                <w:b w:val="0"/>
                <w:i w:val="0"/>
                <w:color w:val="2B2B2B"/>
                <w:sz w:val="17"/>
              </w:rPr>
              <w:t>Canil com capacidade para cem cães</w:t>
            </w:r>
          </w:p>
        </w:tc>
        <w:tc>
          <w:tcPr>
            <w:tcW w:type="dxa" w:w="6236"/>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Plano Director Municipal, licenciamento de construção, artigo 103.º do Decreto-Lei n.º 380/99. A capacidade do canil é aferida em sede urbanística; os limites do artigo 3.º não são convocados nem discutidos.</w:t>
            </w:r>
          </w:p>
        </w:tc>
      </w:tr>
      <w:tr>
        <w:trPr>
          <w:cantSplit/>
        </w:trPr>
        <w:tc>
          <w:tcPr>
            <w:tcW w:type="dxa" w:w="317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TCA Norte, 21.4.2023, proc. 01571/22.6BEPRT</w:t>
            </w:r>
          </w:p>
          <w:p>
            <w:pPr>
              <w:spacing w:before="0" w:after="40" w:line="274" w:lineRule="auto"/>
            </w:pPr>
            <w:r>
              <w:rPr>
                <w:rFonts w:ascii="Aptos" w:hAnsi="Aptos" w:cs="Aptos" w:eastAsia="Aptos"/>
                <w:b w:val="0"/>
                <w:i w:val="0"/>
                <w:color w:val="2B2B2B"/>
                <w:sz w:val="17"/>
              </w:rPr>
              <w:t>Encerramento de alojamento de associação sem fins lucrativos</w:t>
            </w:r>
          </w:p>
        </w:tc>
        <w:tc>
          <w:tcPr>
            <w:tcW w:type="dxa" w:w="6236"/>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Regime do Decreto-Lei n.º 276/2001. Providência cautelar contra ato de encerramento do alojamento.</w:t>
            </w:r>
          </w:p>
        </w:tc>
      </w:tr>
    </w:tbl>
    <w:p>
      <w:pPr>
        <w:spacing w:before="40" w:after="180" w:line="293" w:lineRule="auto"/>
      </w:pPr>
    </w:p>
    <w:p>
      <w:pPr>
        <w:spacing w:before="0" w:after="140" w:line="293" w:lineRule="auto"/>
        <w:jc w:val="both"/>
      </w:pPr>
      <w:r>
        <w:rPr>
          <w:rFonts w:ascii="Aptos" w:hAnsi="Aptos" w:cs="Aptos" w:eastAsia="Aptos"/>
          <w:b w:val="0"/>
          <w:i w:val="0"/>
          <w:color w:val="2B2B2B"/>
          <w:sz w:val="20"/>
        </w:rPr>
        <w:t>O contraste é eloquente. Um canil para cem cães discute-se em sede de instrumento de gestão territorial e de licenciamento; quarenta e cinco cães no quintal de uma residência discutem-se em sede de salubridade e remoção camarária. São dois circuitos jurídicos que não se cruzam.</w:t>
      </w:r>
    </w:p>
    <w:p>
      <w:pPr>
        <w:keepNext/>
        <w:spacing w:before="360" w:after="40" w:line="293" w:lineRule="auto"/>
      </w:pPr>
      <w:r>
        <w:rPr>
          <w:rFonts w:ascii="Aptos" w:hAnsi="Aptos" w:cs="Aptos" w:eastAsia="Aptos"/>
          <w:b/>
          <w:i w:val="0"/>
          <w:color w:val="5C7891"/>
          <w:sz w:val="27"/>
        </w:rPr>
        <w:t xml:space="preserve">6.  </w:t>
      </w:r>
      <w:r>
        <w:rPr>
          <w:rFonts w:ascii="Aptos" w:hAnsi="Aptos" w:cs="Aptos" w:eastAsia="Aptos"/>
          <w:b/>
          <w:i w:val="0"/>
          <w:color w:val="35506B"/>
          <w:sz w:val="27"/>
        </w:rPr>
        <w:t>O intervalo de 2001 a 2003</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Este é o elemento de maior peso, e resulta apenas da sequência dos diplomas.</w:t>
      </w:r>
    </w:p>
    <w:p>
      <w:pPr>
        <w:spacing w:before="0" w:after="100" w:line="293" w:lineRule="auto"/>
        <w:ind w:left="408" w:hanging="408"/>
        <w:jc w:val="both"/>
      </w:pPr>
      <w:r>
        <w:rPr>
          <w:rFonts w:ascii="Aptos" w:hAnsi="Aptos" w:cs="Aptos" w:eastAsia="Aptos"/>
          <w:b/>
          <w:i w:val="0"/>
          <w:color w:val="5C7891"/>
          <w:sz w:val="20"/>
        </w:rPr>
        <w:t>1.</w:t>
        <w:tab/>
      </w:r>
      <w:r>
        <w:rPr>
          <w:rFonts w:ascii="Aptos" w:hAnsi="Aptos" w:cs="Aptos" w:eastAsia="Aptos"/>
          <w:b w:val="0"/>
          <w:i w:val="0"/>
          <w:color w:val="2B2B2B"/>
          <w:sz w:val="20"/>
        </w:rPr>
        <w:t>O Decreto-Lei n.º 317/85 fixava, no artigo 10.º, a regra da permanência de cães em habitações e o poder camarário de remoção.</w:t>
      </w:r>
    </w:p>
    <w:p>
      <w:pPr>
        <w:spacing w:before="0" w:after="100" w:line="293" w:lineRule="auto"/>
        <w:ind w:left="408" w:hanging="408"/>
        <w:jc w:val="both"/>
      </w:pPr>
      <w:r>
        <w:rPr>
          <w:rFonts w:ascii="Aptos" w:hAnsi="Aptos" w:cs="Aptos" w:eastAsia="Aptos"/>
          <w:b/>
          <w:i w:val="0"/>
          <w:color w:val="5C7891"/>
          <w:sz w:val="20"/>
        </w:rPr>
        <w:t>2.</w:t>
        <w:tab/>
      </w:r>
      <w:r>
        <w:rPr>
          <w:rFonts w:ascii="Aptos" w:hAnsi="Aptos" w:cs="Aptos" w:eastAsia="Aptos"/>
          <w:b w:val="0"/>
          <w:i w:val="0"/>
          <w:color w:val="2B2B2B"/>
          <w:sz w:val="20"/>
        </w:rPr>
        <w:t xml:space="preserve">O </w:t>
      </w:r>
      <w:r>
        <w:rPr>
          <w:rFonts w:ascii="Aptos" w:hAnsi="Aptos" w:cs="Aptos" w:eastAsia="Aptos"/>
          <w:b/>
          <w:i w:val="0"/>
          <w:color w:val="2B2B2B"/>
          <w:sz w:val="20"/>
        </w:rPr>
        <w:t>Decreto-Lei n.º 91/2001, de 23 de março</w:t>
      </w:r>
      <w:r>
        <w:rPr>
          <w:rFonts w:ascii="Aptos" w:hAnsi="Aptos" w:cs="Aptos" w:eastAsia="Aptos"/>
          <w:b w:val="0"/>
          <w:i w:val="0"/>
          <w:color w:val="2B2B2B"/>
          <w:sz w:val="20"/>
        </w:rPr>
        <w:t xml:space="preserve">, revogou-o expressamente e </w:t>
      </w:r>
      <w:r>
        <w:rPr>
          <w:rFonts w:ascii="Aptos" w:hAnsi="Aptos" w:cs="Aptos" w:eastAsia="Aptos"/>
          <w:b/>
          <w:i w:val="0"/>
          <w:color w:val="2B2B2B"/>
          <w:sz w:val="20"/>
        </w:rPr>
        <w:t>não reproduziu qualquer limite de animais por fogo nem qualquer poder camarário de remoção</w:t>
      </w:r>
      <w:r>
        <w:rPr>
          <w:rFonts w:ascii="Aptos" w:hAnsi="Aptos" w:cs="Aptos" w:eastAsia="Aptos"/>
          <w:b w:val="0"/>
          <w:i w:val="0"/>
          <w:color w:val="2B2B2B"/>
          <w:sz w:val="20"/>
        </w:rPr>
        <w:t>. A palavra «alojamento» não ocorre uma única vez no seu articulado.</w:t>
      </w:r>
    </w:p>
    <w:p>
      <w:pPr>
        <w:spacing w:before="0" w:after="100" w:line="293" w:lineRule="auto"/>
        <w:ind w:left="408" w:hanging="408"/>
        <w:jc w:val="both"/>
      </w:pPr>
      <w:r>
        <w:rPr>
          <w:rFonts w:ascii="Aptos" w:hAnsi="Aptos" w:cs="Aptos" w:eastAsia="Aptos"/>
          <w:b/>
          <w:i w:val="0"/>
          <w:color w:val="5C7891"/>
          <w:sz w:val="20"/>
        </w:rPr>
        <w:t>3.</w:t>
        <w:tab/>
      </w:r>
      <w:r>
        <w:rPr>
          <w:rFonts w:ascii="Aptos" w:hAnsi="Aptos" w:cs="Aptos" w:eastAsia="Aptos"/>
          <w:b w:val="0"/>
          <w:i w:val="0"/>
          <w:color w:val="2B2B2B"/>
          <w:sz w:val="20"/>
        </w:rPr>
        <w:t xml:space="preserve">O </w:t>
      </w:r>
      <w:r>
        <w:rPr>
          <w:rFonts w:ascii="Aptos" w:hAnsi="Aptos" w:cs="Aptos" w:eastAsia="Aptos"/>
          <w:b/>
          <w:i w:val="0"/>
          <w:color w:val="2B2B2B"/>
          <w:sz w:val="20"/>
        </w:rPr>
        <w:t>Decreto-Lei n.º 276/2001, de 17 de outubro</w:t>
      </w:r>
      <w:r>
        <w:rPr>
          <w:rFonts w:ascii="Aptos" w:hAnsi="Aptos" w:cs="Aptos" w:eastAsia="Aptos"/>
          <w:b w:val="0"/>
          <w:i w:val="0"/>
          <w:color w:val="2B2B2B"/>
          <w:sz w:val="20"/>
        </w:rPr>
        <w:t xml:space="preserve"> — todo o regime dos alojamentos de reprodução, criação, manutenção e venda, o procedimento de acesso, a figura da criação comercial e o anexo I — foi aprovado </w:t>
      </w:r>
      <w:r>
        <w:rPr>
          <w:rFonts w:ascii="Aptos" w:hAnsi="Aptos" w:cs="Aptos" w:eastAsia="Aptos"/>
          <w:b/>
          <w:i w:val="0"/>
          <w:color w:val="2B2B2B"/>
          <w:sz w:val="20"/>
        </w:rPr>
        <w:t>dentro desse intervalo</w:t>
      </w:r>
      <w:r>
        <w:rPr>
          <w:rFonts w:ascii="Aptos" w:hAnsi="Aptos" w:cs="Aptos" w:eastAsia="Aptos"/>
          <w:b w:val="0"/>
          <w:i w:val="0"/>
          <w:color w:val="2B2B2B"/>
          <w:sz w:val="20"/>
        </w:rPr>
        <w:t>.</w:t>
      </w:r>
    </w:p>
    <w:p>
      <w:pPr>
        <w:spacing w:before="0" w:after="100" w:line="293" w:lineRule="auto"/>
        <w:ind w:left="408" w:hanging="408"/>
        <w:jc w:val="both"/>
      </w:pPr>
      <w:r>
        <w:rPr>
          <w:rFonts w:ascii="Aptos" w:hAnsi="Aptos" w:cs="Aptos" w:eastAsia="Aptos"/>
          <w:b/>
          <w:i w:val="0"/>
          <w:color w:val="5C7891"/>
          <w:sz w:val="20"/>
        </w:rPr>
        <w:t>4.</w:t>
        <w:tab/>
      </w:r>
      <w:r>
        <w:rPr>
          <w:rFonts w:ascii="Aptos" w:hAnsi="Aptos" w:cs="Aptos" w:eastAsia="Aptos"/>
          <w:b w:val="0"/>
          <w:i w:val="0"/>
          <w:color w:val="2B2B2B"/>
          <w:sz w:val="20"/>
        </w:rPr>
        <w:t xml:space="preserve">O </w:t>
      </w:r>
      <w:r>
        <w:rPr>
          <w:rFonts w:ascii="Aptos" w:hAnsi="Aptos" w:cs="Aptos" w:eastAsia="Aptos"/>
          <w:b/>
          <w:i w:val="0"/>
          <w:color w:val="2B2B2B"/>
          <w:sz w:val="20"/>
        </w:rPr>
        <w:t>Decreto-Lei n.º 314/2003, de 17 de dezembro</w:t>
      </w:r>
      <w:r>
        <w:rPr>
          <w:rFonts w:ascii="Aptos" w:hAnsi="Aptos" w:cs="Aptos" w:eastAsia="Aptos"/>
          <w:b w:val="0"/>
          <w:i w:val="0"/>
          <w:color w:val="2B2B2B"/>
          <w:sz w:val="20"/>
        </w:rPr>
        <w:t>, revogou o Decreto-Lei n.º 91/2001 e reintroduziu os limites, agora por referência a prédios urbanos, rústicos ou mistos.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1 — É revogado o Decreto-Lei n.º 317/85, de 2 de Agosto.</w:t>
            </w:r>
          </w:p>
          <w:p>
            <w:pPr>
              <w:spacing w:before="120" w:after="0" w:line="293" w:lineRule="auto"/>
            </w:pPr>
            <w:r>
              <w:rPr>
                <w:rFonts w:ascii="Aptos" w:hAnsi="Aptos" w:cs="Aptos" w:eastAsia="Aptos"/>
                <w:b w:val="0"/>
                <w:i w:val="0"/>
                <w:color w:val="7C8894"/>
                <w:sz w:val="15"/>
              </w:rPr>
              <w:t>N.º 1 do artigo 9.º do Decreto-Lei n.º 91/2001, de 23 de março</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É revogado o Decreto-Lei n.º 91/2001, de 23 de Março (…)</w:t>
            </w:r>
          </w:p>
          <w:p>
            <w:pPr>
              <w:spacing w:before="120" w:after="0" w:line="293" w:lineRule="auto"/>
            </w:pPr>
            <w:r>
              <w:rPr>
                <w:rFonts w:ascii="Aptos" w:hAnsi="Aptos" w:cs="Aptos" w:eastAsia="Aptos"/>
                <w:b w:val="0"/>
                <w:i w:val="0"/>
                <w:color w:val="7C8894"/>
                <w:sz w:val="15"/>
              </w:rPr>
              <w:t>Artigo 19.º do Decreto-Lei n.º 314/2003, de 17 de dezembro</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Durante </w:t>
            </w:r>
            <w:r>
              <w:rPr>
                <w:rFonts w:ascii="Aptos" w:hAnsi="Aptos" w:cs="Aptos" w:eastAsia="Aptos"/>
                <w:b/>
                <w:i w:val="0"/>
                <w:color w:val="2B2B2B"/>
                <w:sz w:val="20"/>
              </w:rPr>
              <w:t>dois anos e nove meses</w:t>
            </w:r>
            <w:r>
              <w:rPr>
                <w:rFonts w:ascii="Aptos" w:hAnsi="Aptos" w:cs="Aptos" w:eastAsia="Aptos"/>
                <w:b w:val="0"/>
                <w:i w:val="0"/>
                <w:color w:val="2B2B2B"/>
                <w:sz w:val="20"/>
              </w:rPr>
              <w:t xml:space="preserve">, entre 23 de março de 2001 e 17 de dezembro de 2003, o ordenamento português não conheceu qualquer limite de animais por fogo. Foi exatamente nesse período que se aprovou e entrou em vigor o regime dos alojamentos do Decreto-Lei n.º 276/2001. Um regime construído na ausência de qualquer limite de detenção </w:t>
            </w:r>
            <w:r>
              <w:rPr>
                <w:rFonts w:ascii="Aptos" w:hAnsi="Aptos" w:cs="Aptos" w:eastAsia="Aptos"/>
                <w:b/>
                <w:i w:val="0"/>
                <w:color w:val="2B2B2B"/>
                <w:sz w:val="20"/>
              </w:rPr>
              <w:t>não pode tê-lo pressuposto</w:t>
            </w:r>
            <w:r>
              <w:rPr>
                <w:rFonts w:ascii="Aptos" w:hAnsi="Aptos" w:cs="Aptos" w:eastAsia="Aptos"/>
                <w:b w:val="0"/>
                <w:i w:val="0"/>
                <w:color w:val="2B2B2B"/>
                <w:sz w:val="20"/>
              </w:rPr>
              <w:t>, e a sua reposição posterior, em diploma de polícia sanitária, não o converte retroativamente em teto de lotação dos estabelecimentos.</w:t>
            </w:r>
          </w:p>
        </w:tc>
      </w:tr>
    </w:tbl>
    <w:p>
      <w:pPr>
        <w:spacing w:before="0" w:after="180" w:line="293" w:lineRule="auto"/>
      </w:pPr>
    </w:p>
    <w:p>
      <w:pPr>
        <w:keepNext/>
        <w:spacing w:before="360" w:after="40" w:line="293" w:lineRule="auto"/>
      </w:pPr>
      <w:r>
        <w:rPr>
          <w:rFonts w:ascii="Aptos" w:hAnsi="Aptos" w:cs="Aptos" w:eastAsia="Aptos"/>
          <w:b/>
          <w:i w:val="0"/>
          <w:color w:val="5C7891"/>
          <w:sz w:val="27"/>
        </w:rPr>
        <w:t xml:space="preserve">7.  </w:t>
      </w:r>
      <w:r>
        <w:rPr>
          <w:rFonts w:ascii="Aptos" w:hAnsi="Aptos" w:cs="Aptos" w:eastAsia="Aptos"/>
          <w:b/>
          <w:i w:val="0"/>
          <w:color w:val="35506B"/>
          <w:sz w:val="27"/>
        </w:rPr>
        <w:t>O dimensionamento por superfície no Decreto-Lei n.º 276/2001</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O argumento anterior confirma-se pelo modo como o próprio diploma dos alojamentos dimensiona a capacidade: por superfície disponível por animal, e não por contagem de cabeças.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e) A superfície mínima do chão do recinto para uma cadela e respetiva ninhada deve estar compreendida entre 4 m2 e 6 m2.</w:t>
            </w:r>
          </w:p>
          <w:p>
            <w:pPr>
              <w:spacing w:before="120" w:after="0" w:line="293" w:lineRule="auto"/>
            </w:pPr>
            <w:r>
              <w:rPr>
                <w:rFonts w:ascii="Aptos" w:hAnsi="Aptos" w:cs="Aptos" w:eastAsia="Aptos"/>
                <w:b w:val="0"/>
                <w:i w:val="0"/>
                <w:color w:val="7C8894"/>
                <w:sz w:val="15"/>
              </w:rPr>
              <w:t>Al. e) do anexo III do Decreto-Lei n.º 276/2001, para que remete o n.º 1 do artigo 27.º</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Num canil, cada animal deve dispor de uma superfície de base de, pelo menos, 1,22 m x 1,22 m;</w:t>
            </w:r>
          </w:p>
          <w:p>
            <w:pPr>
              <w:spacing w:before="0" w:after="0" w:line="293" w:lineRule="auto"/>
              <w:jc w:val="both"/>
            </w:pPr>
            <w:r>
              <w:rPr>
                <w:rFonts w:ascii="Aptos" w:hAnsi="Aptos" w:cs="Aptos" w:eastAsia="Aptos"/>
                <w:b w:val="0"/>
                <w:i/>
                <w:color w:val="2B2B2B"/>
                <w:sz w:val="19"/>
              </w:rPr>
              <w:t>Um recinto com as dimensões 1,50 m x 3 m não pode alojar mais de dois cães de raça média ou grande, ou três cães de raça pequena.</w:t>
            </w:r>
          </w:p>
          <w:p>
            <w:pPr>
              <w:spacing w:before="120" w:after="0" w:line="293" w:lineRule="auto"/>
            </w:pPr>
            <w:r>
              <w:rPr>
                <w:rFonts w:ascii="Aptos" w:hAnsi="Aptos" w:cs="Aptos" w:eastAsia="Aptos"/>
                <w:b w:val="0"/>
                <w:i w:val="0"/>
                <w:color w:val="7C8894"/>
                <w:sz w:val="15"/>
              </w:rPr>
              <w:t>Al. g.2) do anexo III do Decreto-Lei n.º 276/2001</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i w:val="0"/>
                <w:color w:val="2B2B2B"/>
                <w:sz w:val="19"/>
              </w:rPr>
              <w:t>Precisão quanto ao alcance.</w:t>
            </w:r>
            <w:r>
              <w:rPr>
                <w:rFonts w:ascii="Aptos" w:hAnsi="Aptos" w:cs="Aptos" w:eastAsia="Aptos"/>
                <w:b w:val="0"/>
                <w:i w:val="0"/>
                <w:color w:val="2B2B2B"/>
                <w:sz w:val="19"/>
              </w:rPr>
              <w:t xml:space="preserve"> A al. g) do anexo III respeita a centros de recolha oficiais e a hospedagem sem fins lucrativos, não aos alojamentos de criação, cujas medidas constam da al. d). O valor do elemento não está, por isso, na aplicação direta daquelas medidas aos criadores, mas no método: a lei dimensiona o alojamento por superfície disponível por animal e nunca por contagem de cabeças.</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O argumento que daqui se extrai deve ser formulado com esta contenção. Não se demonstra que o anexo III pressuponha necessariamente estabelecimentos acima dos limites do diploma da raiva — demonstra-se que o critério de capacidade do Decreto-Lei n.º 276/2001 é de outra natureza, e que o diploma dispõe de regime próprio para a fixar, o que retira fundamento à integração por recurso a norma de diploma com objeto diverso.</w:t>
      </w:r>
    </w:p>
    <w:p>
      <w:pPr>
        <w:keepNext/>
        <w:spacing w:before="360" w:after="40" w:line="293" w:lineRule="auto"/>
      </w:pPr>
      <w:r>
        <w:rPr>
          <w:rFonts w:ascii="Aptos" w:hAnsi="Aptos" w:cs="Aptos" w:eastAsia="Aptos"/>
          <w:b/>
          <w:i w:val="0"/>
          <w:color w:val="5C7891"/>
          <w:sz w:val="27"/>
        </w:rPr>
        <w:t xml:space="preserve">8.  </w:t>
      </w:r>
      <w:r>
        <w:rPr>
          <w:rFonts w:ascii="Aptos" w:hAnsi="Aptos" w:cs="Aptos" w:eastAsia="Aptos"/>
          <w:b/>
          <w:i w:val="0"/>
          <w:color w:val="35506B"/>
          <w:sz w:val="27"/>
        </w:rPr>
        <w:t>Doutrina</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A doutrina que se ocupou do artigo 3.º recusou, pelas mesmas razões, que os seus limites valham fora do domínio sanitário.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Seria no mínimo abusivo pretender retirar daqui uma limitação geral em termos de detenção de animais numa fracção autónoma, numa limitação matreira aos poderes conferidos pelo código civil aos proprietários.</w:t>
            </w:r>
          </w:p>
          <w:p>
            <w:pPr>
              <w:spacing w:before="0" w:after="80" w:line="293" w:lineRule="auto"/>
              <w:jc w:val="both"/>
            </w:pPr>
            <w:r>
              <w:rPr>
                <w:rFonts w:ascii="Aptos" w:hAnsi="Aptos" w:cs="Aptos" w:eastAsia="Aptos"/>
                <w:b w:val="0"/>
                <w:i/>
                <w:color w:val="2B2B2B"/>
                <w:sz w:val="19"/>
              </w:rPr>
              <w:t>A limitação prevista nesta norma vale para efeito de prevenção de zoonoses. Mal se compreenderia, num diploma desta natureza, uma limitação geral, feita em abstracto (sem qualquer atenção, por exemplo, à dimensão da fracção autónoma) aos poderes conferidos ao proprietário pelo Direito Civil.</w:t>
            </w:r>
          </w:p>
          <w:p>
            <w:pPr>
              <w:spacing w:before="0" w:after="0" w:line="293" w:lineRule="auto"/>
              <w:jc w:val="both"/>
            </w:pPr>
            <w:r>
              <w:rPr>
                <w:rFonts w:ascii="Aptos" w:hAnsi="Aptos" w:cs="Aptos" w:eastAsia="Aptos"/>
                <w:b w:val="0"/>
                <w:i/>
                <w:color w:val="2B2B2B"/>
                <w:sz w:val="19"/>
              </w:rPr>
              <w:t>O limite máximo aqui estabelecido releva para efeitos de luta e vigilância epidemiológica, indiciando riscos higío-sanitários, não pretende regular relações de vizinhança, nem tutelar direitos de personalidade dos outros conviventes no prédio.</w:t>
            </w:r>
          </w:p>
          <w:p>
            <w:pPr>
              <w:spacing w:before="120" w:after="0" w:line="293" w:lineRule="auto"/>
            </w:pPr>
            <w:r>
              <w:rPr>
                <w:rFonts w:ascii="Aptos" w:hAnsi="Aptos" w:cs="Aptos" w:eastAsia="Aptos"/>
                <w:b w:val="0"/>
                <w:i w:val="0"/>
                <w:color w:val="7C8894"/>
                <w:sz w:val="15"/>
              </w:rPr>
              <w:t>Sandra Passinhas, «Os animais e o regime português da propriedade horizontal», Revista da Ordem dos Advogados, Ano 66, Vol. II, setembro de 2006</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 xml:space="preserve">A análise do quadro contraordenacional aponta no mesmo sentido, ao autonomizar a infração por excesso de animais </w:t>
      </w:r>
      <w:r>
        <w:rPr>
          <w:rFonts w:ascii="Aptos" w:hAnsi="Aptos" w:cs="Aptos" w:eastAsia="Aptos"/>
          <w:b/>
          <w:i w:val="0"/>
          <w:color w:val="2B2B2B"/>
          <w:sz w:val="20"/>
        </w:rPr>
        <w:t>por fogo urbano</w:t>
      </w:r>
      <w:r>
        <w:rPr>
          <w:rFonts w:ascii="Aptos" w:hAnsi="Aptos" w:cs="Aptos" w:eastAsia="Aptos"/>
          <w:b w:val="0"/>
          <w:i w:val="0"/>
          <w:color w:val="2B2B2B"/>
          <w:sz w:val="20"/>
        </w:rPr>
        <w:t>, sancionada pela al. c) do n.º 3 do artigo 14.º do Decreto-Lei n.º 314/2003, das infrações de atividade do artigo 68.º do Decreto-Lei n.º 276/2001. São tipos distintos, com pressupostos distintos.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Bruno Filipe Salvador da Silva Branco, «A detenção de animais de companhia — uma análise do ponto de vista contraordenacional», Revista Jurídica Lusófona Brasileira, Ano 5 (2019), n.º 2, pp. 229-260.</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 xml:space="preserve">Associação Portuguesa de Médicos Veterinários Especialistas em Animais de Companhia, revisão crítica legislativa, que lê o artigo 3.º como fixando o «número de animais de companhia que legalmente é possível </w:t>
      </w:r>
      <w:r>
        <w:rPr>
          <w:rFonts w:ascii="Aptos" w:hAnsi="Aptos" w:cs="Aptos" w:eastAsia="Aptos"/>
          <w:b/>
          <w:i w:val="0"/>
          <w:color w:val="2B2B2B"/>
          <w:sz w:val="20"/>
        </w:rPr>
        <w:t>deter</w:t>
      </w:r>
      <w:r>
        <w:rPr>
          <w:rFonts w:ascii="Aptos" w:hAnsi="Aptos" w:cs="Aptos" w:eastAsia="Aptos"/>
          <w:b w:val="0"/>
          <w:i w:val="0"/>
          <w:color w:val="2B2B2B"/>
          <w:sz w:val="20"/>
        </w:rPr>
        <w:t>».</w:t>
      </w:r>
    </w:p>
    <w:p>
      <w:pPr>
        <w:keepNext/>
        <w:spacing w:before="360" w:after="40" w:line="293" w:lineRule="auto"/>
      </w:pPr>
      <w:r>
        <w:rPr>
          <w:rFonts w:ascii="Aptos" w:hAnsi="Aptos" w:cs="Aptos" w:eastAsia="Aptos"/>
          <w:b/>
          <w:i w:val="0"/>
          <w:color w:val="5C7891"/>
          <w:sz w:val="27"/>
        </w:rPr>
        <w:t xml:space="preserve">9.  </w:t>
      </w:r>
      <w:r>
        <w:rPr>
          <w:rFonts w:ascii="Aptos" w:hAnsi="Aptos" w:cs="Aptos" w:eastAsia="Aptos"/>
          <w:b/>
          <w:i w:val="0"/>
          <w:color w:val="35506B"/>
          <w:sz w:val="27"/>
        </w:rPr>
        <w:t>Prática administrativa</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 xml:space="preserve">A prática das autoridades acompanha a separação. A página institucional da Direção-Geral de Alimentação e Veterinária sobre autorização e requisitos de funcionamento dos alojamentos de animais de companhia invoca o Decreto-Lei n.º 276/2001 e o Decreto-Lei n.º 260/2012, e remete para os anexos por espécie. </w:t>
      </w:r>
      <w:r>
        <w:rPr>
          <w:rFonts w:ascii="Aptos" w:hAnsi="Aptos" w:cs="Aptos" w:eastAsia="Aptos"/>
          <w:b/>
          <w:i w:val="0"/>
          <w:color w:val="2B2B2B"/>
          <w:sz w:val="20"/>
        </w:rPr>
        <w:t>Não menciona o Decreto-Lei n.º 314/2003 nem qualquer limite de animais por fogo.</w:t>
      </w:r>
    </w:p>
    <w:p>
      <w:pPr>
        <w:spacing w:before="0" w:after="140" w:line="293" w:lineRule="auto"/>
        <w:jc w:val="both"/>
      </w:pPr>
      <w:r>
        <w:rPr>
          <w:rFonts w:ascii="Aptos" w:hAnsi="Aptos" w:cs="Aptos" w:eastAsia="Aptos"/>
          <w:b w:val="0"/>
          <w:i w:val="0"/>
          <w:color w:val="2B2B2B"/>
          <w:sz w:val="20"/>
        </w:rPr>
        <w:t>Também a repartição de competências contraordenacionais separa os dois planos: as infrações do artigo 14.º do Decreto-Lei n.º 314/2003 distribuem-se por juntas de freguesia e municípios, ao passo que as infrações do artigo 68.º do Decreto-Lei n.º 276/2001 são instruídas pela autoridade veterinária nacional. Diferentes entidades instrutórias para diferentes domínios materiais.</w:t>
      </w:r>
    </w:p>
    <w:p>
      <w:pPr>
        <w:keepNext/>
        <w:spacing w:before="360" w:after="40" w:line="293" w:lineRule="auto"/>
      </w:pPr>
      <w:r>
        <w:rPr>
          <w:rFonts w:ascii="Aptos" w:hAnsi="Aptos" w:cs="Aptos" w:eastAsia="Aptos"/>
          <w:b/>
          <w:i w:val="0"/>
          <w:color w:val="5C7891"/>
          <w:sz w:val="27"/>
        </w:rPr>
        <w:t xml:space="preserve">10.  </w:t>
      </w:r>
      <w:r>
        <w:rPr>
          <w:rFonts w:ascii="Aptos" w:hAnsi="Aptos" w:cs="Aptos" w:eastAsia="Aptos"/>
          <w:b/>
          <w:i w:val="0"/>
          <w:color w:val="35506B"/>
          <w:sz w:val="27"/>
        </w:rPr>
        <w:t>Elementos em sentido divergente</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Dois elementos recolhidos apontam em sentido contrário à leitura restritiva do alcance do artigo 3.º e são aqui tratados em texto, não em ressalva.</w:t>
      </w:r>
    </w:p>
    <w:p>
      <w:pPr>
        <w:keepNext/>
        <w:spacing w:before="200" w:after="60" w:line="293" w:lineRule="auto"/>
      </w:pPr>
      <w:r>
        <w:rPr>
          <w:rFonts w:ascii="Aptos" w:hAnsi="Aptos" w:cs="Aptos" w:eastAsia="Aptos"/>
          <w:b/>
          <w:i w:val="0"/>
          <w:color w:val="5C7891"/>
          <w:sz w:val="19"/>
        </w:rPr>
        <w:t>10.1  O artigo 3.º aplicado a uma instalação descrita como canil</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I – Deve ser deferida a providência que visa a remoção de animais alojados num canil clandestino, instalado no logradouro de um prédio urbano, de onde emana um cheiro nauseabundo, ladrando os 30 canídeos dia e noite o que traduz violação do disposto no artigo 3.º/1 do Decreto-lei n.º 314/2003, de 17 de Dezembro.</w:t>
            </w:r>
          </w:p>
          <w:p>
            <w:pPr>
              <w:spacing w:before="120" w:after="0" w:line="293" w:lineRule="auto"/>
            </w:pPr>
            <w:r>
              <w:rPr>
                <w:rFonts w:ascii="Aptos" w:hAnsi="Aptos" w:cs="Aptos" w:eastAsia="Aptos"/>
                <w:b w:val="0"/>
                <w:i w:val="0"/>
                <w:color w:val="7C8894"/>
                <w:sz w:val="15"/>
              </w:rPr>
              <w:t>Sumário do Acórdão do TRL de 28 de junho de 2007, processo n.º 1692/2007-8</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O caso envolvia mais de cinquenta cães de grande porte no logradouro de uma vivenda geminada. Mostra que o artigo 3.º é efetivamente mobilizado contra instalações que são, de facto, canis, e não apenas contra a detenção familiar. Três circunstâncias limitam, porém, o alcance que dele se pode extrair.</w:t>
      </w:r>
    </w:p>
    <w:p>
      <w:pPr>
        <w:spacing w:before="0" w:after="100" w:line="293" w:lineRule="auto"/>
        <w:ind w:left="408" w:hanging="408"/>
        <w:jc w:val="both"/>
      </w:pPr>
      <w:r>
        <w:rPr>
          <w:rFonts w:ascii="Aptos" w:hAnsi="Aptos" w:cs="Aptos" w:eastAsia="Aptos"/>
          <w:b/>
          <w:i w:val="0"/>
          <w:color w:val="5C7891"/>
          <w:sz w:val="20"/>
        </w:rPr>
        <w:t>1.</w:t>
        <w:tab/>
      </w:r>
      <w:r>
        <w:rPr>
          <w:rFonts w:ascii="Aptos" w:hAnsi="Aptos" w:cs="Aptos" w:eastAsia="Aptos"/>
          <w:b w:val="0"/>
          <w:i w:val="0"/>
          <w:color w:val="2B2B2B"/>
          <w:sz w:val="20"/>
        </w:rPr>
        <w:t xml:space="preserve">Aplicou o </w:t>
      </w:r>
      <w:r>
        <w:rPr>
          <w:rFonts w:ascii="Aptos" w:hAnsi="Aptos" w:cs="Aptos" w:eastAsia="Aptos"/>
          <w:b/>
          <w:i w:val="0"/>
          <w:color w:val="2B2B2B"/>
          <w:sz w:val="20"/>
        </w:rPr>
        <w:t>n.º 1</w:t>
      </w:r>
      <w:r>
        <w:rPr>
          <w:rFonts w:ascii="Aptos" w:hAnsi="Aptos" w:cs="Aptos" w:eastAsia="Aptos"/>
          <w:b w:val="0"/>
          <w:i w:val="0"/>
          <w:color w:val="2B2B2B"/>
          <w:sz w:val="20"/>
        </w:rPr>
        <w:t xml:space="preserve"> do artigo 3.º, que é cláusula geral de salubridade de alcance universal, e não os limites numéricos dos n.os 2 e 4.</w:t>
      </w:r>
    </w:p>
    <w:p>
      <w:pPr>
        <w:spacing w:before="0" w:after="100" w:line="293" w:lineRule="auto"/>
        <w:ind w:left="408" w:hanging="408"/>
        <w:jc w:val="both"/>
      </w:pPr>
      <w:r>
        <w:rPr>
          <w:rFonts w:ascii="Aptos" w:hAnsi="Aptos" w:cs="Aptos" w:eastAsia="Aptos"/>
          <w:b/>
          <w:i w:val="0"/>
          <w:color w:val="5C7891"/>
          <w:sz w:val="20"/>
        </w:rPr>
        <w:t>2.</w:t>
        <w:tab/>
      </w:r>
      <w:r>
        <w:rPr>
          <w:rFonts w:ascii="Aptos" w:hAnsi="Aptos" w:cs="Aptos" w:eastAsia="Aptos"/>
          <w:b w:val="0"/>
          <w:i w:val="0"/>
          <w:color w:val="2B2B2B"/>
          <w:sz w:val="20"/>
        </w:rPr>
        <w:t xml:space="preserve">A instalação era </w:t>
      </w:r>
      <w:r>
        <w:rPr>
          <w:rFonts w:ascii="Aptos" w:hAnsi="Aptos" w:cs="Aptos" w:eastAsia="Aptos"/>
          <w:b/>
          <w:i w:val="0"/>
          <w:color w:val="2B2B2B"/>
          <w:sz w:val="20"/>
        </w:rPr>
        <w:t>clandestina</w:t>
      </w:r>
      <w:r>
        <w:rPr>
          <w:rFonts w:ascii="Aptos" w:hAnsi="Aptos" w:cs="Aptos" w:eastAsia="Aptos"/>
          <w:b w:val="0"/>
          <w:i w:val="0"/>
          <w:color w:val="2B2B2B"/>
          <w:sz w:val="20"/>
        </w:rPr>
        <w:t>, isto é, não titulada ao abrigo do Decreto-Lei n.º 276/2001. Não estava em causa a capacidade de um alojamento autorizado, mas a existência de uma situação de facto insalubre.</w:t>
      </w:r>
    </w:p>
    <w:p>
      <w:pPr>
        <w:spacing w:before="0" w:after="100" w:line="293" w:lineRule="auto"/>
        <w:ind w:left="408" w:hanging="408"/>
        <w:jc w:val="both"/>
      </w:pPr>
      <w:r>
        <w:rPr>
          <w:rFonts w:ascii="Aptos" w:hAnsi="Aptos" w:cs="Aptos" w:eastAsia="Aptos"/>
          <w:b/>
          <w:i w:val="0"/>
          <w:color w:val="5C7891"/>
          <w:sz w:val="20"/>
        </w:rPr>
        <w:t>3.</w:t>
        <w:tab/>
      </w:r>
      <w:r>
        <w:rPr>
          <w:rFonts w:ascii="Aptos" w:hAnsi="Aptos" w:cs="Aptos" w:eastAsia="Aptos"/>
          <w:b w:val="0"/>
          <w:i w:val="0"/>
          <w:color w:val="2B2B2B"/>
          <w:sz w:val="20"/>
        </w:rPr>
        <w:t xml:space="preserve">A causa de pedir era de </w:t>
      </w:r>
      <w:r>
        <w:rPr>
          <w:rFonts w:ascii="Aptos" w:hAnsi="Aptos" w:cs="Aptos" w:eastAsia="Aptos"/>
          <w:b/>
          <w:i w:val="0"/>
          <w:color w:val="2B2B2B"/>
          <w:sz w:val="20"/>
        </w:rPr>
        <w:t>tutela da personalidade</w:t>
      </w:r>
      <w:r>
        <w:rPr>
          <w:rFonts w:ascii="Aptos" w:hAnsi="Aptos" w:cs="Aptos" w:eastAsia="Aptos"/>
          <w:b w:val="0"/>
          <w:i w:val="0"/>
          <w:color w:val="2B2B2B"/>
          <w:sz w:val="20"/>
        </w:rPr>
        <w:t xml:space="preserve"> — direitos à tranquilidade, à qualidade de vida, à habitação e ao ambiente —, e não de acesso a atividade.</w:t>
      </w:r>
    </w:p>
    <w:p>
      <w:pPr>
        <w:spacing w:before="0" w:after="140" w:line="293" w:lineRule="auto"/>
        <w:jc w:val="both"/>
      </w:pPr>
      <w:r>
        <w:rPr>
          <w:rFonts w:ascii="Aptos" w:hAnsi="Aptos" w:cs="Aptos" w:eastAsia="Aptos"/>
          <w:b w:val="0"/>
          <w:i w:val="0"/>
          <w:color w:val="2B2B2B"/>
          <w:sz w:val="20"/>
        </w:rPr>
        <w:t>Retira-se daqui uma precisão útil: o n.º 1 do artigo 3.º pode alcançar qualquer situação de alojamento insalubre, incluindo a de um estabelecimento não titulado. Não se encontrou, em contrapartida, decisão que dele extraia a lotação de um estabelecimento regularmente autorizado — matéria que o Decreto-Lei n.º 276/2001 regula por declaração na comunicação prévia e pelos parâmetros do seu anexo III.</w:t>
      </w:r>
    </w:p>
    <w:p>
      <w:pPr>
        <w:spacing w:before="0" w:after="140" w:line="293" w:lineRule="auto"/>
        <w:jc w:val="both"/>
      </w:pPr>
      <w:r>
        <w:rPr>
          <w:rFonts w:ascii="Aptos" w:hAnsi="Aptos" w:cs="Aptos" w:eastAsia="Aptos"/>
          <w:b w:val="0"/>
          <w:i w:val="0"/>
          <w:color w:val="2B2B2B"/>
          <w:sz w:val="20"/>
        </w:rPr>
        <w:t>Merece registo um segundo aspeto do mesmo aresto, incómodo para qualquer das teses: o Decreto-Lei n.º 276/2001 não é sequer mencionado, apesar de estar em causa uma instalação que, com cinquenta cães, seria manifestamente um alojamento não titulado. A leitura mais natural não é a de que o diploma dos alojamentos não se aplicava, mas a de que a via sanitária e a tutela da personalidade foram as escolhidas por serem as eficazes.</w:t>
      </w:r>
    </w:p>
    <w:p>
      <w:pPr>
        <w:keepNext/>
        <w:spacing w:before="200" w:after="60" w:line="293" w:lineRule="auto"/>
      </w:pPr>
      <w:r>
        <w:rPr>
          <w:rFonts w:ascii="Aptos" w:hAnsi="Aptos" w:cs="Aptos" w:eastAsia="Aptos"/>
          <w:b/>
          <w:i w:val="0"/>
          <w:color w:val="5C7891"/>
          <w:sz w:val="19"/>
        </w:rPr>
        <w:t>10.2  O artigo 3.º como regra geral de vizinhança</w:t>
      </w:r>
    </w:p>
    <w:p>
      <w:pPr>
        <w:spacing w:before="0" w:after="140" w:line="293" w:lineRule="auto"/>
        <w:jc w:val="both"/>
      </w:pPr>
      <w:r>
        <w:rPr>
          <w:rFonts w:ascii="Aptos" w:hAnsi="Aptos" w:cs="Aptos" w:eastAsia="Aptos"/>
          <w:b w:val="0"/>
          <w:i w:val="0"/>
          <w:color w:val="2B2B2B"/>
          <w:sz w:val="20"/>
        </w:rPr>
        <w:t>A doutrina citada no ponto 8 sustenta que os limites do artigo 3.º valem apenas para efeitos de prevenção de zoonoses e que seria abusivo deles extrair uma limitação geral. Essa posição não foi acolhida pelo Tribunal da Relação de Guimarães, que integrou o preceito no elenco das regras de higiene, sossego e boa vizinhança relevantes para a resolução do contrato de arrendamento, a par do Regulamento Geral do Ruído e das restrições de vizinhança do Código Civil.</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 o DL n.º 314/2003, de 17 de Dezembro, que aprova o Programa Nacional de Luta e Vigilância Epidemiológica da Raiva e que em cuja art.º 3º n.º 2 dispõe que nos prédios urbanos podem ser alojados até três cães ou quatro gatos adultos por cada fogo, não podendo no total ser excedido o número de quatro animais […] e cujo n.º 3 dispõe que [n]o caso de fracções autónomas em regime de propriedade horizontal, o regulamento do condomínio pode estabelecer um limite de animais inferior ao previsto no número anterior;</w:t>
            </w:r>
          </w:p>
          <w:p>
            <w:pPr>
              <w:spacing w:before="120" w:after="0" w:line="293" w:lineRule="auto"/>
            </w:pPr>
            <w:r>
              <w:rPr>
                <w:rFonts w:ascii="Aptos" w:hAnsi="Aptos" w:cs="Aptos" w:eastAsia="Aptos"/>
                <w:b w:val="0"/>
                <w:i w:val="0"/>
                <w:color w:val="7C8894"/>
                <w:sz w:val="15"/>
              </w:rPr>
              <w:t>Acórdão do Tribunal da Relação de Guimarães de 19 de maio de 2022, processo n.º 119/20.1T8FAF.G1, a propósito da al. a) do n.º 2 do artigo 1083.º do Código Civil</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O elemento é relevante e não deve ser minimizado: mostra que os limites do artigo 3.º são mobilizados como padrão de conduta fora do domínio da polícia sanitária. Não respeita, ainda assim, à questão da capacidade de estabelecimentos, e é isso — e só isso — que o distingue da questão aqui tratada.</w:t>
      </w:r>
    </w:p>
    <w:p>
      <w:pPr>
        <w:keepNext/>
        <w:spacing w:before="360" w:after="40" w:line="293" w:lineRule="auto"/>
      </w:pPr>
      <w:r>
        <w:rPr>
          <w:rFonts w:ascii="Aptos" w:hAnsi="Aptos" w:cs="Aptos" w:eastAsia="Aptos"/>
          <w:b/>
          <w:i w:val="0"/>
          <w:color w:val="5C7891"/>
          <w:sz w:val="27"/>
        </w:rPr>
        <w:t xml:space="preserve">11.  </w:t>
      </w:r>
      <w:r>
        <w:rPr>
          <w:rFonts w:ascii="Aptos" w:hAnsi="Aptos" w:cs="Aptos" w:eastAsia="Aptos"/>
          <w:b/>
          <w:i w:val="0"/>
          <w:color w:val="35506B"/>
          <w:sz w:val="27"/>
        </w:rPr>
        <w:t>Método e limites da pesquisa</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Consultaram-se as bases do Supremo Tribunal de Justiça, das Relações de Lisboa, Porto, Coimbra, Évora e Guimarães, do Supremo Tribunal Administrativo e dos Tribunais Centrais Administrativos Sul e Norte, bem como a jurisprudência do Tribunal Constitucional. Foram descarregados e lidos trinta e três acórdãos que citam o Decreto-Lei n.º 314/2003.</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80" w:line="293" w:lineRule="auto"/>
              <w:jc w:val="both"/>
            </w:pPr>
            <w:r>
              <w:rPr>
                <w:rFonts w:ascii="Aptos" w:hAnsi="Aptos" w:cs="Aptos" w:eastAsia="Aptos"/>
                <w:b w:val="0"/>
                <w:i w:val="0"/>
                <w:color w:val="2B2B2B"/>
                <w:sz w:val="19"/>
              </w:rPr>
              <w:t>Três reservas devem acompanhar a leitura deste anexo.</w:t>
            </w:r>
          </w:p>
          <w:p>
            <w:pPr>
              <w:spacing w:before="0" w:after="80" w:line="293" w:lineRule="auto"/>
              <w:jc w:val="both"/>
            </w:pPr>
            <w:r>
              <w:rPr>
                <w:rFonts w:ascii="Aptos" w:hAnsi="Aptos" w:cs="Aptos" w:eastAsia="Aptos"/>
                <w:b/>
                <w:i w:val="0"/>
                <w:color w:val="2B2B2B"/>
                <w:sz w:val="19"/>
              </w:rPr>
              <w:t>Primeira.</w:t>
            </w:r>
            <w:r>
              <w:rPr>
                <w:rFonts w:ascii="Aptos" w:hAnsi="Aptos" w:cs="Aptos" w:eastAsia="Aptos"/>
                <w:b w:val="0"/>
                <w:i w:val="0"/>
                <w:color w:val="2B2B2B"/>
                <w:sz w:val="19"/>
              </w:rPr>
              <w:t xml:space="preserve"> O texto do Decreto-Lei n.º 314/2003 tal como publicado no Diário da República de 17 de dezembro de 2003 não foi obtido. A redação originária do artigo 3.º foi confirmada por duas vias indiretas convergentes: a versão consolidada não regista alterações a esse artigo, e a doutrina de 2006 transcreve-o com a numeração atual.</w:t>
            </w:r>
          </w:p>
          <w:p>
            <w:pPr>
              <w:spacing w:before="0" w:after="80" w:line="293" w:lineRule="auto"/>
              <w:jc w:val="both"/>
            </w:pPr>
            <w:r>
              <w:rPr>
                <w:rFonts w:ascii="Aptos" w:hAnsi="Aptos" w:cs="Aptos" w:eastAsia="Aptos"/>
                <w:b/>
                <w:i w:val="0"/>
                <w:color w:val="2B2B2B"/>
                <w:sz w:val="19"/>
              </w:rPr>
              <w:t>Segunda.</w:t>
            </w:r>
            <w:r>
              <w:rPr>
                <w:rFonts w:ascii="Aptos" w:hAnsi="Aptos" w:cs="Aptos" w:eastAsia="Aptos"/>
                <w:b w:val="0"/>
                <w:i w:val="0"/>
                <w:color w:val="2B2B2B"/>
                <w:sz w:val="19"/>
              </w:rPr>
              <w:t xml:space="preserve"> Não se obteve o articulado de regulamentos municipais com cláusula expressa de exclusão dos alojamentos licenciados.</w:t>
            </w:r>
          </w:p>
          <w:p>
            <w:pPr>
              <w:spacing w:before="0" w:after="0" w:line="293" w:lineRule="auto"/>
              <w:jc w:val="both"/>
            </w:pPr>
            <w:r>
              <w:rPr>
                <w:rFonts w:ascii="Aptos" w:hAnsi="Aptos" w:cs="Aptos" w:eastAsia="Aptos"/>
                <w:b/>
                <w:i w:val="0"/>
                <w:color w:val="2B2B2B"/>
                <w:sz w:val="19"/>
              </w:rPr>
              <w:t>Terceira.</w:t>
            </w:r>
            <w:r>
              <w:rPr>
                <w:rFonts w:ascii="Aptos" w:hAnsi="Aptos" w:cs="Aptos" w:eastAsia="Aptos"/>
                <w:b w:val="0"/>
                <w:i w:val="0"/>
                <w:color w:val="2B2B2B"/>
                <w:sz w:val="19"/>
              </w:rPr>
              <w:t xml:space="preserve"> A pesquisa combinada na base do dgsi.pt, associando a referência do diploma a outro termo, produz resultados nulos para combinações que existem no acervo. As conclusões dos pontos 4 e 5 assentam na leitura dos acórdãos efetivamente descarregados, e não em contagens dessa pesquisa combinada.</w:t>
            </w:r>
          </w:p>
        </w:tc>
      </w:tr>
    </w:tbl>
    <w:p>
      <w:pPr>
        <w:spacing w:before="0" w:after="180" w:line="293" w:lineRule="auto"/>
      </w:pPr>
    </w:p>
    <w:p>
      <w:pPr>
        <w:keepNext/>
        <w:spacing w:before="360" w:after="40" w:line="293" w:lineRule="auto"/>
      </w:pPr>
      <w:r>
        <w:rPr>
          <w:rFonts w:ascii="Aptos" w:hAnsi="Aptos" w:cs="Aptos" w:eastAsia="Aptos"/>
          <w:b/>
          <w:i w:val="0"/>
          <w:color w:val="5C7891"/>
          <w:sz w:val="27"/>
        </w:rPr>
        <w:t xml:space="preserve">12.  </w:t>
      </w:r>
      <w:r>
        <w:rPr>
          <w:rFonts w:ascii="Aptos" w:hAnsi="Aptos" w:cs="Aptos" w:eastAsia="Aptos"/>
          <w:b/>
          <w:i w:val="0"/>
          <w:color w:val="35506B"/>
          <w:sz w:val="27"/>
        </w:rPr>
        <w:t>Síntese</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O material recolhido consente a seguinte leitura de conjunto, e não mais do que ela.</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 xml:space="preserve">A </w:t>
      </w:r>
      <w:r>
        <w:rPr>
          <w:rFonts w:ascii="Aptos" w:hAnsi="Aptos" w:cs="Aptos" w:eastAsia="Aptos"/>
          <w:b/>
          <w:i w:val="0"/>
          <w:color w:val="2B2B2B"/>
          <w:sz w:val="20"/>
        </w:rPr>
        <w:t>genealogia</w:t>
      </w:r>
      <w:r>
        <w:rPr>
          <w:rFonts w:ascii="Aptos" w:hAnsi="Aptos" w:cs="Aptos" w:eastAsia="Aptos"/>
          <w:b w:val="0"/>
          <w:i w:val="0"/>
          <w:color w:val="2B2B2B"/>
          <w:sz w:val="20"/>
        </w:rPr>
        <w:t xml:space="preserve"> da norma, que remonta ao artigo 10.º do Decreto-Lei n.º 317/85, teve sempre por objeto a permanência de animais em habitações.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 xml:space="preserve">A </w:t>
      </w:r>
      <w:r>
        <w:rPr>
          <w:rFonts w:ascii="Aptos" w:hAnsi="Aptos" w:cs="Aptos" w:eastAsia="Aptos"/>
          <w:b/>
          <w:i w:val="0"/>
          <w:color w:val="2B2B2B"/>
          <w:sz w:val="20"/>
        </w:rPr>
        <w:t>jurisprudência constitucional</w:t>
      </w:r>
      <w:r>
        <w:rPr>
          <w:rFonts w:ascii="Aptos" w:hAnsi="Aptos" w:cs="Aptos" w:eastAsia="Aptos"/>
          <w:b w:val="0"/>
          <w:i w:val="0"/>
          <w:color w:val="2B2B2B"/>
          <w:sz w:val="20"/>
        </w:rPr>
        <w:t xml:space="preserve"> qualifica-a, há quarenta anos, como matéria de polícia sanitária municipal, com uma declaração de inconstitucionalidade com força obrigatória geral.</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 xml:space="preserve">A </w:t>
      </w:r>
      <w:r>
        <w:rPr>
          <w:rFonts w:ascii="Aptos" w:hAnsi="Aptos" w:cs="Aptos" w:eastAsia="Aptos"/>
          <w:b/>
          <w:i w:val="0"/>
          <w:color w:val="2B2B2B"/>
          <w:sz w:val="20"/>
        </w:rPr>
        <w:t>jurisprudência administrativa</w:t>
      </w:r>
      <w:r>
        <w:rPr>
          <w:rFonts w:ascii="Aptos" w:hAnsi="Aptos" w:cs="Aptos" w:eastAsia="Aptos"/>
          <w:b w:val="0"/>
          <w:i w:val="0"/>
          <w:color w:val="2B2B2B"/>
          <w:sz w:val="20"/>
        </w:rPr>
        <w:t xml:space="preserve"> aplica-a à detenção em prédios, mesmo perante números elevados de animais, e trata os estabelecimentos num plano distinto, o do licenciamento.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 xml:space="preserve">A </w:t>
      </w:r>
      <w:r>
        <w:rPr>
          <w:rFonts w:ascii="Aptos" w:hAnsi="Aptos" w:cs="Aptos" w:eastAsia="Aptos"/>
          <w:b/>
          <w:i w:val="0"/>
          <w:color w:val="2B2B2B"/>
          <w:sz w:val="20"/>
        </w:rPr>
        <w:t>doutrina</w:t>
      </w:r>
      <w:r>
        <w:rPr>
          <w:rFonts w:ascii="Aptos" w:hAnsi="Aptos" w:cs="Aptos" w:eastAsia="Aptos"/>
          <w:b w:val="0"/>
          <w:i w:val="0"/>
          <w:color w:val="2B2B2B"/>
          <w:sz w:val="20"/>
        </w:rPr>
        <w:t xml:space="preserve"> recusa extrair do preceito uma limitação geral — mas essa posição não foi acolhida pela jurisprudência civil, como o ponto 10.2 demonstra.</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 xml:space="preserve">A </w:t>
      </w:r>
      <w:r>
        <w:rPr>
          <w:rFonts w:ascii="Aptos" w:hAnsi="Aptos" w:cs="Aptos" w:eastAsia="Aptos"/>
          <w:b/>
          <w:i w:val="0"/>
          <w:color w:val="2B2B2B"/>
          <w:sz w:val="20"/>
        </w:rPr>
        <w:t>prática administrativa</w:t>
      </w:r>
      <w:r>
        <w:rPr>
          <w:rFonts w:ascii="Aptos" w:hAnsi="Aptos" w:cs="Aptos" w:eastAsia="Aptos"/>
          <w:b w:val="0"/>
          <w:i w:val="0"/>
          <w:color w:val="2B2B2B"/>
          <w:sz w:val="20"/>
        </w:rPr>
        <w:t xml:space="preserve"> da DGAV e dos municípios não cruza os dois planos.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Nenhuma das decisões lidas fixa, a partir do artigo 3.º, a lotação de um estabelecimento titulado; nenhuma, em sentido inverso, afasta expressamente essa possibilidade.</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O que o material demonstra é que o artigo 3.º </w:t>
            </w:r>
            <w:r>
              <w:rPr>
                <w:rFonts w:ascii="Aptos" w:hAnsi="Aptos" w:cs="Aptos" w:eastAsia="Aptos"/>
                <w:b/>
                <w:i w:val="0"/>
                <w:color w:val="2B2B2B"/>
                <w:sz w:val="20"/>
              </w:rPr>
              <w:t>não foi construído nem tem sido aplicado como norma de acesso a atividade</w:t>
            </w:r>
            <w:r>
              <w:rPr>
                <w:rFonts w:ascii="Aptos" w:hAnsi="Aptos" w:cs="Aptos" w:eastAsia="Aptos"/>
                <w:b w:val="0"/>
                <w:i w:val="0"/>
                <w:color w:val="2B2B2B"/>
                <w:sz w:val="20"/>
              </w:rPr>
              <w:t>. O que não demonstra — porque nenhuma decisão o aborda — é o que sucede a um estabelecimento titulado instalado em prédio urbano com mais de seis animais adultos. Essa questão fica em aberto e é tratada no ponto 5 do anexo de delimitação.</w:t>
            </w:r>
          </w:p>
        </w:tc>
      </w:tr>
    </w:tbl>
    <w:p>
      <w:pPr>
        <w:spacing w:before="0" w:after="180" w:line="293" w:lineRule="auto"/>
      </w:pPr>
    </w:p>
    <w:p>
      <w:pPr>
        <w:keepNext/>
        <w:spacing w:before="360" w:after="40" w:line="293" w:lineRule="auto"/>
      </w:pPr>
      <w:r>
        <w:rPr>
          <w:rFonts w:ascii="Aptos" w:hAnsi="Aptos" w:cs="Aptos" w:eastAsia="Aptos"/>
          <w:b/>
          <w:i w:val="0"/>
          <w:color w:val="5C7891"/>
          <w:sz w:val="27"/>
        </w:rPr>
        <w:t xml:space="preserve">13.  </w:t>
      </w:r>
      <w:r>
        <w:rPr>
          <w:rFonts w:ascii="Aptos" w:hAnsi="Aptos" w:cs="Aptos" w:eastAsia="Aptos"/>
          <w:b/>
          <w:i w:val="0"/>
          <w:color w:val="35506B"/>
          <w:sz w:val="27"/>
        </w:rPr>
        <w:t>Elementos citados</w:t>
      </w:r>
    </w:p>
    <w:p>
      <w:pPr>
        <w:keepNext/>
        <w:pBdr>
          <w:bottom w:val="single" w:sz="4" w:space="1" w:color="D7DEE5"/>
        </w:pBdr>
        <w:spacing w:before="0" w:after="160" w:line="40" w:lineRule="exact"/>
      </w:pP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Acórdãos do Tribunal Constitucional n.os 158/95, 190/95, 193/95, 579/95 (Plenário) e 229/2007.</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Acórdão do STA de 7 de março de 2006, processo n.º 0794/05.</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Acórdãos do TCA Sul de 4 de fevereiro de 2010, processo n.º 04784/09, e de 10 de outubro de 2013, processo n.º 10348/13.</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Acórdão do TCA Norte de 21 de abril de 2023, processo n.º 01571/22.6BEPRT.</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Acórdão do TRE de 18 de abril de 2013, processo n.º 78/12.</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Acórdãos do TRL de 28 de junho de 2007, processo n.º 1692/2007-8, e de 18 de dezembro de 2025, processo n.º 31180/22.3T8LSB.L1-6.</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Acórdão do TRC de 13 de dezembro de 2022, processo n.º 856/22.6T8GRD.C1.</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Acórdãos do TRP de 21 de novembro de 2016, processo n.º 3091/15.6T8GDM.P1, e de 30 de abril de 2026, processo n.º 6599/24.9T8MAI.P1.</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Acórdãos do TRG de 1 de fevereiro de 2022, processo n.º 4718/18.3T8GMR.G1, e de 19 de fevereiro de 2026, processo n.º 585/08.3TBPVL.G1.</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Decreto-Lei n.º 317/85, de 2 de agosto; Decreto-Lei n.º 91/2001, de 23 de março; Decreto-Lei n.º 276/2001, de 17 de outubro; Decreto-Lei n.º 314/2003, de 17 de dezembro; Decreto-Lei n.º 315/2003, de 17 de dezembro.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Sandra Passinhas, Revista da Ordem dos Advogados, Ano 66, Vol. II, setembro de 2006.</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Bruno Branco, Revista Jurídica Lusófona Brasileira, Ano 5 (2019), n.º 2.</w:t>
      </w:r>
    </w:p>
    <w:sectPr w:rsidR="00FC693F" w:rsidRPr="0006063C" w:rsidSect="00034616">
      <w:headerReference w:type="default" r:id="rId9"/>
      <w:footerReference w:type="default" r:id="rId10"/>
      <w:pgSz w:w="11906" w:h="16838"/>
      <w:pgMar w:top="1304" w:right="1247" w:bottom="1191"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93" w:lineRule="auto"/>
      <w:jc w:val="right"/>
    </w:pPr>
    <w:r>
      <w:rPr>
        <w:rFonts w:ascii="Aptos" w:hAnsi="Aptos" w:cs="Aptos" w:eastAsia="Aptos"/>
        <w:b w:val="0"/>
        <w:i w:val="0"/>
        <w:color w:val="7C8894"/>
        <w:sz w:val="16"/>
      </w:rPr>
    </w:r>
    <w:fldSimple w:instr="PAGE">
      <w:r>
        <w:rPr>
          <w:sz w:val="16"/>
          <w:color w:val="7C8894"/>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93" w:lineRule="auto"/>
      <w:jc w:val="right"/>
    </w:pPr>
    <w:r>
      <w:rPr>
        <w:rFonts w:ascii="Aptos" w:hAnsi="Aptos" w:cs="Aptos" w:eastAsia="Aptos"/>
        <w:b w:val="0"/>
        <w:i w:val="0"/>
        <w:color w:val="7C8894"/>
        <w:sz w:val="15"/>
      </w:rPr>
      <w:t>Jurisprudência e doutrina · DL 314/2003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Aptos" w:hAnsi="Aptos" w:cs="Aptos" w:eastAsia="Aptos"/>
      <w:color w:val="2B2B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