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Al. aa)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N.º 1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N.os 11 e 12 do artigo 3.º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Al. q) do artigo 2.º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N.º 2 do artigo 4.º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N.º 1 do artigo 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N.os 1 e 2 do artigo 25.º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N.os 5 e 6 do artigo 25.º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N.os 1, 2 e 4 do artigo 3.º do Decreto-Lei n.º 314/2003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Estes limites regulam a detenção doméstica. Não constituem limiar de capacidade dos estabelecimentos de criação nem condicionam o acesso à atividade. Os fundamentos desta leitura desenvolvem-se em anexo autónomo; sintetizam-se aqui os essenciais.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Objeto e destinatário.</w:t>
      </w:r>
      <w:r>
        <w:rPr>
          <w:rFonts w:ascii="Aptos" w:hAnsi="Aptos" w:cs="Aptos" w:eastAsia="Aptos"/>
          <w:b w:val="0"/>
          <w:i w:val="0"/>
          <w:color w:val="2B2B2B"/>
          <w:sz w:val="20"/>
        </w:rPr>
        <w:t xml:space="preserve"> O diploma é legislação sanitária de luta contra a raiva. A epígrafe do artigo 3.º é «Detenção de cães e gatos» e o seu destinatário é o detentor, referido ao fogo. O Decreto-Lei n.º 276/2001 tem por objeto o exercício de uma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Articulação expressa feita pelo legislador.</w:t>
      </w:r>
      <w:r>
        <w:rPr>
          <w:rFonts w:ascii="Aptos" w:hAnsi="Aptos" w:cs="Aptos" w:eastAsia="Aptos"/>
          <w:b w:val="0"/>
          <w:i w:val="0"/>
          <w:color w:val="2B2B2B"/>
          <w:sz w:val="20"/>
        </w:rPr>
        <w:t xml:space="preserve"> O Decreto-Lei n.º 315/2003, publicado no mesmo dia do Decreto-Lei n.º 314/2003, alterou o Decreto-Lei n.º 276/2001 para excecionar da definição de «hospedagem sem fins lucrativos» as fracções autónomas em regime de propriedade horizontal a que se refere o n.º 3 do artigo 3.º do diploma da raiva. Confrontado com a coexistência dos dois regimes, o legislador subtraiu a detenção doméstica ao conceito de alojamento sujeito a título de acesso, em vez de a converter em limite de capacidade.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Leitura confirmada pela doutrina.</w:t>
      </w:r>
      <w:r>
        <w:rPr>
          <w:rFonts w:ascii="Aptos" w:hAnsi="Aptos" w:cs="Aptos" w:eastAsia="Aptos"/>
          <w:b w:val="0"/>
          <w:i w:val="0"/>
          <w:color w:val="2B2B2B"/>
          <w:sz w:val="20"/>
        </w:rPr>
        <w:t xml:space="preserve"> A propósito do mesmo artigo 3.º, sustentou-se que «a limitação prevista nesta norma vale para efeito de prevenção de zoonoses» e que seria abusivo dela extrair uma limitação geral aos poderes do proprietário. Se os limites não conformam sequer o direito de propriedade e as relações de vizinhança, menos podem condicionar o acesso a uma atividade económica regulada por diploma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Critérios logicamente independentes.</w:t>
      </w:r>
      <w:r>
        <w:rPr>
          <w:rFonts w:ascii="Aptos" w:hAnsi="Aptos" w:cs="Aptos" w:eastAsia="Aptos"/>
          <w:b w:val="0"/>
          <w:i w:val="0"/>
          <w:color w:val="2B2B2B"/>
          <w:sz w:val="20"/>
        </w:rPr>
        <w:t xml:space="preserve"> O Decreto-Lei n.º 276/2001 desencadeia-se com uma fêmea reprodutora; o Decreto-Lei n.º 314/2003 com o quarto animal adulto no fogo. Pode haver atividade sem excesso de lotação e lotação sem atividade.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capacidade tem regime próprio.</w:t>
      </w:r>
      <w:r>
        <w:rPr>
          <w:rFonts w:ascii="Aptos" w:hAnsi="Aptos" w:cs="Aptos" w:eastAsia="Aptos"/>
          <w:b w:val="0"/>
          <w:i w:val="0"/>
          <w:color w:val="2B2B2B"/>
          <w:sz w:val="20"/>
        </w:rPr>
        <w:t xml:space="preserve"> É declarada na mera comunicação prévia e aferida pelos parâmetros do anexo I do Decreto-Lei n.º 276/2001, por força do n.º 6 do artigo 25.º. A lei especial dos alojamentos é essa.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nenhum criador em prédio urbano poderia deter mais de quatro animais adultos, e o limiar europeu de cinco fêmeas reprodutoras seria inaplicável em meio urbano. O resultado contraria a arquitetura do Regulamento e a do próprio projeto de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Classificação predial é critério tributário.</w:t>
      </w:r>
      <w:r>
        <w:rPr>
          <w:rFonts w:ascii="Aptos" w:hAnsi="Aptos" w:cs="Aptos" w:eastAsia="Aptos"/>
          <w:b w:val="0"/>
          <w:i w:val="0"/>
          <w:color w:val="2B2B2B"/>
          <w:sz w:val="20"/>
        </w:rPr>
        <w:t xml:space="preserve"> Prédio urbano, rústico e misto são categorias do Código do Imposto Municipal sobre Imóveis. Fazer depender a licitude de uma atividade económica da matriz predial não encontra apoio na lei nem resiste a um juízo de proporcionalidade.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direito da União afasta a relevância do tipo de prédio.</w:t>
      </w:r>
      <w:r>
        <w:rPr>
          <w:rFonts w:ascii="Aptos" w:hAnsi="Aptos" w:cs="Aptos" w:eastAsia="Aptos"/>
          <w:b w:val="0"/>
          <w:i w:val="0"/>
          <w:color w:val="2B2B2B"/>
          <w:sz w:val="20"/>
        </w:rPr>
        <w:t xml:space="preserve"> O Regulamento define estabelecimento de criação como qualquer instalação ou estrutura, incluindo casas particulares, onde são mantidos cães ou gatos para fins de reprodução com vista à colocação da sua descendência no mercado.</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N.º 1 do artigo 5.º do Decreto-Lei n.º 314/2003</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Artigo 4.º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N.º 1 do artigo 5.º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N.os 1 e 2 do artigo 20.º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N.º 1 do artigo 9.º do Regulamento (UE) 2026/1818</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N.os 1 e 2 do artigo 10.º do Regulamento (UE) 2026/1818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N.º 1 do artigo 45.º do projeto de RGAC, 1.ª revisão formal da DAJA, versão de trabalho de junho de 2026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N.os 1 e 2 do artigo 30.º do Regulamento (UE) 2026/1818</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