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Quadro comparativo — Art.º 9.º do Regulamento 2023/0447</w:t>
      </w:r>
    </w:p>
    <w:p>
      <w:pPr>
        <w:jc w:val="center"/>
      </w:pPr>
      <w:r>
        <w:rPr>
          <w:b w:val="0"/>
          <w:sz w:val="22"/>
        </w:rPr>
        <w:t>Notificação e registo dos estabelecimentos</w:t>
      </w:r>
    </w:p>
    <w:p>
      <w:pPr>
        <w:jc w:val="center"/>
      </w:pPr>
      <w:r>
        <w:rPr>
          <w:b w:val="0"/>
          <w:sz w:val="18"/>
        </w:rPr>
        <w:t>@rgbeac (proposta jun. 2025) × @codigo (proposta DL 214/2013) × @legislacao (vigente)</w:t>
      </w:r>
    </w:p>
    <w:p>
      <w:pPr>
        <w:jc w:val="center"/>
      </w:pPr>
      <w:r>
        <w:rPr>
          <w:b w:val="0"/>
          <w:sz w:val="18"/>
        </w:rPr>
        <w:t>Data: 19/03/2026</w:t>
      </w:r>
    </w:p>
    <w:p>
      <w:pPr>
        <w:spacing w:after="0" w:before="0"/>
      </w:pPr>
    </w:p>
    <w:p>
      <w:r>
        <w:rPr>
          <w:b/>
          <w:sz w:val="20"/>
        </w:rPr>
        <w:t>1. Tipo de procedimento de notificação/comunicação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c>
          <w:tcPr>
            <w:tcW w:type="dxa" w:w="2268"/>
          </w:tcPr>
          <w:p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3023"/>
          </w:tcPr>
          <w:p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  <w:tc>
          <w:tcPr>
            <w:tcW w:type="dxa" w:w="3024"/>
          </w:tcPr>
          <w:p>
            <w:r>
              <w:rPr>
                <w:b/>
                <w:sz w:val="17"/>
              </w:rPr>
              <w:t>@codigo</w:t>
              <w:br/>
              <w:t>(proposta DL n.º 214/2013)</w:t>
            </w:r>
          </w:p>
        </w:tc>
        <w:tc>
          <w:tcPr>
            <w:tcW w:type="dxa" w:w="3024"/>
          </w:tcPr>
          <w:p>
            <w:r>
              <w:rPr>
                <w:b/>
                <w:sz w:val="17"/>
              </w:rPr>
              <w:t>@legislacao</w:t>
              <w:br/>
              <w:t>(legislação vigente)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Regime geral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Comunicação prévia com prazo (Art.º 60.º, n.º 1)</w:t>
              <w:br/>
              <w:t>Produz efeitos 30 dias após registo; DGAV pode indeferir até ao fim desse prazo (Art.º 60.º, n.ºs 5 e 6)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Mera comunicação prévia — al. a) do Art.º 31.º</w:t>
              <w:br/>
              <w:t>(regra geral)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Mera comunicação prévia — al. a) do n.º 1 do Art.º 3.º</w:t>
              <w:br/>
              <w:t>(regra geral)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Regime especial (raças perigosas)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Não previsto como regime separado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Permissão administrativa — al. b) do Art.º 31.º</w:t>
              <w:br/>
              <w:t>(criação de animais potencialmente perigosos)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Permissão administrativa — al. b) do n.º 1 do Art.º 3.º</w:t>
              <w:br/>
              <w:t>(criação de animais potencialmente perigosos)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Número de identificação atribuído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Art.º 60.º, n.º 2 — a comunicação prévia dá lugar a número de identificação do alojamento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Não previsto expressamente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N.º 11 do Art.º 3.º — comunicação/permissão dão lugar a número de identificação pessoal e intransmissível</w:t>
            </w:r>
          </w:p>
        </w:tc>
      </w:tr>
    </w:tbl>
    <w:p>
      <w:pPr>
        <w:spacing w:after="0" w:before="0"/>
      </w:pPr>
    </w:p>
    <w:p>
      <w:r>
        <w:rPr>
          <w:b/>
          <w:sz w:val="20"/>
        </w:rPr>
        <w:t>2. Elementos informativos obrigatórios na notificação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c>
          <w:tcPr>
            <w:tcW w:type="dxa" w:w="2268"/>
          </w:tcPr>
          <w:p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3023"/>
          </w:tcPr>
          <w:p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  <w:tc>
          <w:tcPr>
            <w:tcW w:type="dxa" w:w="3024"/>
          </w:tcPr>
          <w:p>
            <w:r>
              <w:rPr>
                <w:b/>
                <w:sz w:val="17"/>
              </w:rPr>
              <w:t>@codigo</w:t>
              <w:br/>
              <w:t>(proposta DL n.º 214/2013)</w:t>
            </w:r>
          </w:p>
        </w:tc>
        <w:tc>
          <w:tcPr>
            <w:tcW w:type="dxa" w:w="3024"/>
          </w:tcPr>
          <w:p>
            <w:r>
              <w:rPr>
                <w:b/>
                <w:sz w:val="17"/>
              </w:rPr>
              <w:t>@legislacao</w:t>
              <w:br/>
              <w:t>(legislação vigente)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Nome / denominação social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Art.º 61.º, n.º 1, al. a)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33.º, al. a)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3.º-A, al. a)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Localização e designação comercial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Art.º 61.º, n.º 1, al. b)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33.º, al. b)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3.º-A, al. b)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NIF / NIPC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Art.º 61.º, n.º 1, al. c)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33.º, al. c)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3.º-A, al. c)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Caracterização das atividades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Art.º 61.º, n.º 1, al. e)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33.º, al. e)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3.º-A, al. e)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Médico veterinário responsável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Art.º 61.º, n.º 1, al. f)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33.º, al. f)</w:t>
              <w:br/>
              <w:t>(Art.º 32.º trata do MV responsável em separado)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3.º-A, al. f)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Capacidade máxima de animais e espécies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Art.º 61.º, n.º 1, al. h)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33.º, al. h)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3.º-A, al. h)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Número de animais detidos, espécies e raças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Art.º 61.º, n.º 1, al. i)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33.º, al. i)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3.º-A, al. i)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Estimativa anual de ninhadas a colocar no mercado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Ausente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Ausente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Ausente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Celas de quarentena (centros de recolha)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Art.º 61.º, n.º 1, al. g)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33.º, al. g)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3.º-A, al. g)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Parecer do MV sobre condições higiossanitárias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Art.º 61.º, n.º 1, al. j)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Ausente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Ausente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Declaração de responsabilidade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Art.º 61.º, n.º 1, al. k)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33.º, al. j)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Art.º 3.º-A, al. j)</w:t>
            </w:r>
          </w:p>
        </w:tc>
      </w:tr>
    </w:tbl>
    <w:p>
      <w:pPr>
        <w:spacing w:after="0" w:before="0"/>
      </w:pPr>
    </w:p>
    <w:p>
      <w:r>
        <w:rPr>
          <w:b/>
          <w:sz w:val="20"/>
        </w:rPr>
        <w:t>3. Comunicação de alterações de funcionamento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c>
          <w:tcPr>
            <w:tcW w:type="dxa" w:w="2268"/>
          </w:tcPr>
          <w:p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3023"/>
          </w:tcPr>
          <w:p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  <w:tc>
          <w:tcPr>
            <w:tcW w:type="dxa" w:w="3024"/>
          </w:tcPr>
          <w:p>
            <w:r>
              <w:rPr>
                <w:b/>
                <w:sz w:val="17"/>
              </w:rPr>
              <w:t>@codigo</w:t>
              <w:br/>
              <w:t>(proposta DL n.º 214/2013)</w:t>
            </w:r>
          </w:p>
        </w:tc>
        <w:tc>
          <w:tcPr>
            <w:tcW w:type="dxa" w:w="3024"/>
          </w:tcPr>
          <w:p>
            <w:r>
              <w:rPr>
                <w:b/>
                <w:sz w:val="17"/>
              </w:rPr>
              <w:t>@legislacao</w:t>
              <w:br/>
              <w:t>(legislação vigente)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Prazo de comunicação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15 dias após ocorrência</w:t>
              <w:br/>
              <w:t>(Art.º 63.º, n.º 1)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15 dias após ocorrência</w:t>
              <w:br/>
              <w:t>(Art.º 38.º, n.º 1)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15 dias após ocorrência</w:t>
              <w:br/>
              <w:t>(Art.º 3.º-F, n.º 1)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Via de comunicação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Via eletrónica — balcão único eletrónico</w:t>
              <w:br/>
              <w:t>(Art.º 63.º, n.º 1)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Comunicação à DGAV; sem referência expressa a via eletrónica</w:t>
              <w:br/>
              <w:t>(Art.º 38.º, n.º 1)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Via eletrónica — balcão único eletrónico</w:t>
              <w:br/>
              <w:t>(Art.º 3.º-F, n.º 1)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Âmbito das alterações a comunicar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Qualquer modificação de elementos do n.º 1 do Art.º 61.º</w:t>
              <w:br/>
              <w:t>(Art.º 63.º, n.º 1)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Modificação estrutural, transferência de titularidade, cessão de exploração, cessação da atividade, alteração do MV responsável</w:t>
              <w:br/>
              <w:t>(Art.º 38.º, n.º 1)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Modificação estrutural, transferência de titularidade, cessão de exploração, cessação da atividade, alteração do MV responsável</w:t>
              <w:br/>
              <w:t>(Art.º 3.º-F, n.º 1)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Obras de modificação estrutural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Comunicação acompanhada de plantas</w:t>
              <w:br/>
              <w:t>(Art.º 63.º, n.º 2)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Comunicação acompanhada de plantas</w:t>
              <w:br/>
              <w:t>(Art.º 38.º, n.º 2)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Comunicação acompanhada de plantas</w:t>
              <w:br/>
              <w:t>(Art.º 3.º-F, n.º 2)</w:t>
            </w:r>
          </w:p>
        </w:tc>
      </w:tr>
    </w:tbl>
    <w:p>
      <w:pPr>
        <w:spacing w:after="0" w:before="0"/>
      </w:pPr>
    </w:p>
    <w:p>
      <w:r>
        <w:rPr>
          <w:b/>
          <w:sz w:val="20"/>
        </w:rPr>
        <w:t>4. Cessação de atividade — pré-aviso pelo operador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c>
          <w:tcPr>
            <w:tcW w:type="dxa" w:w="2268"/>
          </w:tcPr>
          <w:p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3023"/>
          </w:tcPr>
          <w:p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  <w:tc>
          <w:tcPr>
            <w:tcW w:type="dxa" w:w="3024"/>
          </w:tcPr>
          <w:p>
            <w:r>
              <w:rPr>
                <w:b/>
                <w:sz w:val="17"/>
              </w:rPr>
              <w:t>@codigo</w:t>
              <w:br/>
              <w:t>(proposta DL n.º 214/2013)</w:t>
            </w:r>
          </w:p>
        </w:tc>
        <w:tc>
          <w:tcPr>
            <w:tcW w:type="dxa" w:w="3024"/>
          </w:tcPr>
          <w:p>
            <w:r>
              <w:rPr>
                <w:b/>
                <w:sz w:val="17"/>
              </w:rPr>
              <w:t>@legislacao</w:t>
              <w:br/>
              <w:t>(legislação vigente)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Pré-aviso obrigatório pelo operador antes da cessação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Não previsto</w:t>
              <w:br/>
              <w:t>(encerramento compulsivo determinado pela DGAV — Art.º 64.º)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Não previsto</w:t>
              <w:br/>
              <w:t>(encerramento compulsivo determinado pelo DGAV — Art.º 39.º)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Não previsto</w:t>
              <w:br/>
              <w:t>(encerramento compulsivo determinado pelo DGAV — Art.º 3.º-G)</w:t>
            </w:r>
          </w:p>
        </w:tc>
      </w:tr>
    </w:tbl>
    <w:p>
      <w:pPr>
        <w:spacing w:after="0" w:before="0"/>
      </w:pPr>
    </w:p>
    <w:p>
      <w:r>
        <w:rPr>
          <w:b/>
          <w:sz w:val="20"/>
        </w:rPr>
        <w:t>5. Suspensão e encerramento determinado pela autoridade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c>
          <w:tcPr>
            <w:tcW w:type="dxa" w:w="2268"/>
          </w:tcPr>
          <w:p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3023"/>
          </w:tcPr>
          <w:p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  <w:tc>
          <w:tcPr>
            <w:tcW w:type="dxa" w:w="3024"/>
          </w:tcPr>
          <w:p>
            <w:r>
              <w:rPr>
                <w:b/>
                <w:sz w:val="17"/>
              </w:rPr>
              <w:t>@codigo</w:t>
              <w:br/>
              <w:t>(proposta DL n.º 214/2013)</w:t>
            </w:r>
          </w:p>
        </w:tc>
        <w:tc>
          <w:tcPr>
            <w:tcW w:type="dxa" w:w="3024"/>
          </w:tcPr>
          <w:p>
            <w:r>
              <w:rPr>
                <w:b/>
                <w:sz w:val="17"/>
              </w:rPr>
              <w:t>@legislacao</w:t>
              <w:br/>
              <w:t>(legislação vigente)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Causas de suspensão/encerramento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a) Riscos higiossanitários; b) Maus-tratos; c) Graves problemas de saúde/bem-estar; d) Falta de condições de segurança</w:t>
              <w:br/>
              <w:t>(Art.º 64.º, n.º 1)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a) Riscos higiossanitários; b) Maus-tratos; c) Graves problemas de saúde/bem-estar; d) Falta de condições de segurança</w:t>
              <w:br/>
              <w:t>(Art.º 39.º, n.º 1)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a) Riscos higiossanitários; b) Maus-tratos; c) Graves problemas de saúde/bem-estar; d) Falta de condições de segurança</w:t>
              <w:br/>
              <w:t>(Art.º 3.º-G, n.º 1)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Prazo máximo de suspensão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180 dias</w:t>
              <w:br/>
              <w:t>(Art.º 64.º, n.º 4)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180 dias</w:t>
              <w:br/>
              <w:t>(Art.º 39.º, n.º 4)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180 dias</w:t>
              <w:br/>
              <w:t>(Art.º 3.º-G, n.º 4)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Prazo para cessar atividade após decisão de encerramento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10 dias úteis</w:t>
              <w:br/>
              <w:t>(Art.º 64.º, n.º 5)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5 dias úteis</w:t>
              <w:br/>
              <w:t>(Art.º 39.º, n.º 5)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5 dias úteis</w:t>
              <w:br/>
              <w:t>(Art.º 3.º-G, n.º 5)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Reabertura após suspensão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Visita de controlo pela DGAV no prazo de 20 dias; decisão de permissão de reabertura pelo diretor-geral</w:t>
              <w:br/>
              <w:t>(Art.º 65.º)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Visita de controlo no prazo de 20 dias; decisão de permissão de reabertura pelo DG da Alimentação e Veterinária</w:t>
              <w:br/>
              <w:t>(Art.º 40.º)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Visita de controlo no prazo de 20 dias; decisão de permissão de reabertura pelo DG da Alimentação e Veterinária</w:t>
              <w:br/>
              <w:t>(Art.º 3.º-H)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Reconhecimento mútuo (UE/EEE)</w:t>
            </w:r>
          </w:p>
        </w:tc>
        <w:tc>
          <w:tcPr>
            <w:tcW w:type="dxa" w:w="3023"/>
          </w:tcPr>
          <w:p>
            <w:r>
              <w:rPr>
                <w:b w:val="0"/>
                <w:sz w:val="16"/>
              </w:rPr>
              <w:t>Previsto: sem duplicação de condições já verificadas noutro Estado-Membro</w:t>
              <w:br/>
              <w:t>(Art.º 67.º)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Previsto: sem duplicação de condições já verificadas noutro Estado-Membro</w:t>
              <w:br/>
              <w:t>(Art.º 42.º)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Não previsto expressamente</w:t>
            </w:r>
          </w:p>
        </w:tc>
      </w:tr>
    </w:tbl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