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os cães e gatos são alimentados de acordo com os requisitos estabelecidos no ponto 1 do Anexo I.</w:t>
            </w:r>
          </w:p>
          <w:p>
            <w:pPr>
              <w:spacing w:after="0" w:before="140"/>
              <w:ind w:right="80" w:left="80" w:firstLine="0"/>
            </w:pPr>
            <w:r>
              <w:rPr>
                <w:rFonts w:ascii="Calibri" w:hAnsi="Calibri"/>
                <w:b w:val="0"/>
                <w:i/>
                <w:color w:val="222222"/>
                <w:sz w:val="19"/>
              </w:rPr>
              <w:t>2 — Os operadores devem assegurar que os cães e gatos são adequadamente alimentados e hidratados fornecendo:</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tendo como objetivo global atingir e manter uma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alimentação de forma a evitar mudanças bruscas e assegurar um sistema gastrointestinal bem funcionante, em particular durante a fase de desmame.</w:t>
            </w:r>
          </w:p>
          <w:p>
            <w:pPr>
              <w:spacing w:after="0" w:before="140"/>
              <w:ind w:right="80" w:left="80" w:firstLine="0"/>
            </w:pPr>
            <w:r>
              <w:rPr>
                <w:rFonts w:ascii="Calibri" w:hAnsi="Calibri"/>
                <w:b w:val="0"/>
                <w:i/>
                <w:color w:val="222222"/>
                <w:sz w:val="19"/>
              </w:rPr>
              <w:t>3 — Os operadores devem assegurar que as instalações de alimentação e hidratação são mantidas limpas e construídas e instaladas de modo a:</w:t>
            </w:r>
          </w:p>
          <w:p>
            <w:pPr>
              <w:spacing w:after="0" w:before="20"/>
              <w:ind w:right="80" w:left="360" w:hanging="280"/>
            </w:pPr>
            <w:r>
              <w:rPr>
                <w:rFonts w:ascii="Calibri" w:hAnsi="Calibri"/>
                <w:b w:val="0"/>
                <w:i/>
                <w:color w:val="222222"/>
                <w:sz w:val="19"/>
              </w:rPr>
              <w:t>a) proporcionar acesso igual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os derrames e prevenir a contaminação de alimentos e água com contaminantes físicos, químicos ou biológicos prejudiciais;</w:t>
            </w:r>
          </w:p>
          <w:p>
            <w:pPr>
              <w:spacing w:after="0" w:before="20"/>
              <w:ind w:right="80" w:left="360" w:hanging="280"/>
            </w:pPr>
            <w:r>
              <w:rPr>
                <w:rFonts w:ascii="Calibri" w:hAnsi="Calibri"/>
                <w:b w:val="0"/>
                <w:i/>
                <w:color w:val="222222"/>
                <w:sz w:val="19"/>
              </w:rPr>
              <w:t>c) prevenir lesões, afogamento ou outro mal aos cães ou gatos;</w:t>
            </w:r>
          </w:p>
          <w:p>
            <w:pPr>
              <w:spacing w:after="0" w:before="20"/>
              <w:ind w:right="80" w:left="360" w:hanging="280"/>
            </w:pPr>
            <w:r>
              <w:rPr>
                <w:rFonts w:ascii="Calibri" w:hAnsi="Calibri"/>
                <w:b w:val="0"/>
                <w:i/>
                <w:color w:val="222222"/>
                <w:sz w:val="19"/>
              </w:rPr>
              <w:t>d) ser facilmente limpas e desinfetadas para prevenir a propagação de doenças.</w:t>
            </w:r>
          </w:p>
          <w:p>
            <w:pPr>
              <w:spacing w:after="0" w:before="140"/>
              <w:ind w:right="80" w:left="80" w:firstLine="0"/>
            </w:pPr>
            <w:r>
              <w:rPr>
                <w:rFonts w:ascii="Calibri" w:hAnsi="Calibri"/>
                <w:b w:val="0"/>
                <w:i/>
                <w:color w:val="222222"/>
                <w:sz w:val="19"/>
              </w:rPr>
              <w:t>3a —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alimentação e hidratação para cães e gatos.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Annex I. Operators of shelters shall ensure that dogs or cats are provided with housing in accordance with point 2.2 of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80" w:firstLine="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80" w:firstLine="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 Paragraph 2(da)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 estabelecimentos de criação e venda devem assegurar que os cães e gatos são alojados de acordo com o ponto 2 do Anexo I. Os operadores de abrigos devem assegurar que os cães e gatos são alojados de acordo com o ponto 2.2 do Anexo I.</w:t>
            </w:r>
          </w:p>
          <w:p>
            <w:pPr>
              <w:spacing w:after="0" w:before="140"/>
              <w:ind w:right="80" w:left="80" w:firstLine="0"/>
            </w:pPr>
            <w:r>
              <w:rPr>
                <w:rFonts w:ascii="Calibri" w:hAnsi="Calibri"/>
                <w:b w:val="0"/>
                <w:i/>
                <w:color w:val="222222"/>
                <w:sz w:val="19"/>
              </w:rPr>
              <w:t>2 — Os operadores devem assegurar que:</w:t>
            </w:r>
          </w:p>
          <w:p>
            <w:pPr>
              <w:spacing w:after="0" w:before="20"/>
              <w:ind w:right="80" w:left="360" w:hanging="280"/>
            </w:pPr>
            <w:r>
              <w:rPr>
                <w:rFonts w:ascii="Calibri" w:hAnsi="Calibri"/>
                <w:b w:val="0"/>
                <w:i/>
                <w:color w:val="222222"/>
                <w:sz w:val="19"/>
              </w:rPr>
              <w:t>a) os estabelecimentos onde os cães e gatos são mantidos e os equipamentos utilizados são adequados aos tipos e número de cães ou gatos, e permitem o acesso necessário e inspeção completa de todos os cães ou gatos;</w:t>
            </w:r>
          </w:p>
          <w:p>
            <w:pPr>
              <w:spacing w:after="0" w:before="20"/>
              <w:ind w:right="80" w:left="360" w:hanging="280"/>
            </w:pPr>
            <w:r>
              <w:rPr>
                <w:rFonts w:ascii="Calibri" w:hAnsi="Calibri"/>
                <w:b w:val="0"/>
                <w:i/>
                <w:color w:val="222222"/>
                <w:sz w:val="19"/>
              </w:rPr>
              <w:t>b) todos os componentes do edifício do estabelecimento, incluindo o piso, telhado e divisões, bem como o equipamento utilizado para cães ou gatos, são construídos e mantidos adequadamente, para garantir que não representam riscos ao bem-estar dos cães ou gatos;</w:t>
            </w:r>
          </w:p>
          <w:p>
            <w:pPr>
              <w:spacing w:after="0" w:before="20"/>
              <w:ind w:right="80" w:left="80" w:firstLine="0"/>
            </w:pPr>
            <w:r>
              <w:rPr>
                <w:rFonts w:ascii="Calibri" w:hAnsi="Calibri"/>
                <w:b w:val="0"/>
                <w:i/>
                <w:color w:val="222222"/>
                <w:sz w:val="19"/>
              </w:rPr>
              <w:t>ba) todos os componentes do edifício do estabelecimento, incluindo o piso e as divisões, bem como o equipamento utilizado para cães ou gatos, são mantidos limpos para garantir que não representam riscos ao bem-estar dos cães ou gatos;</w:t>
            </w:r>
          </w:p>
          <w:p>
            <w:pPr>
              <w:spacing w:after="0" w:before="20"/>
              <w:ind w:right="80" w:left="360" w:hanging="280"/>
            </w:pPr>
            <w:r>
              <w:rPr>
                <w:rFonts w:ascii="Calibri" w:hAnsi="Calibri"/>
                <w:b w:val="0"/>
                <w:i/>
                <w:color w:val="222222"/>
                <w:sz w:val="19"/>
              </w:rPr>
              <w:t>c) nos estabelecimentos de criação e venda onde os cães e gatos são mantidos em recinto fechado, a poeira, temperatura, humidade relativa do ar e concentrações de gases não são prejudiciais aos cães ou gatos e a ventilação é suficiente para evitar o aquecimento excessivo;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80" w:firstLine="0"/>
            </w:pPr>
            <w:r>
              <w:rPr>
                <w:rFonts w:ascii="Calibri" w:hAnsi="Calibri"/>
                <w:b w:val="0"/>
                <w:i/>
                <w:color w:val="222222"/>
                <w:sz w:val="19"/>
              </w:rPr>
              <w:t>da) os cães ou gatos têm locais de repouso limpos, confortáveis e secos, suficientemente grandes e numerosos para garantir que todos podem deitar-se e descansar simultaneamente numa posição natural;</w:t>
            </w:r>
          </w:p>
          <w:p>
            <w:pPr>
              <w:spacing w:after="0" w:before="20"/>
              <w:ind w:right="80" w:left="360" w:hanging="280"/>
            </w:pPr>
            <w:r>
              <w:rPr>
                <w:rFonts w:ascii="Calibri" w:hAnsi="Calibri"/>
                <w:b w:val="0"/>
                <w:i/>
                <w:color w:val="222222"/>
                <w:sz w:val="19"/>
              </w:rPr>
              <w:t>e) estruturas e medidas apropriadas são implementadas para cães ou gatos mantidos ao ar livre para os proteger de condições climáticas adversas, incluindo para prevenir stress térmico, queimaduras solares e congelamento.</w:t>
            </w:r>
          </w:p>
          <w:p>
            <w:pPr>
              <w:spacing w:after="0" w:before="140"/>
              <w:ind w:right="80" w:left="80" w:firstLine="0"/>
            </w:pPr>
            <w:r>
              <w:rPr>
                <w:rFonts w:ascii="Calibri" w:hAnsi="Calibri"/>
                <w:b w:val="0"/>
                <w:i/>
                <w:color w:val="222222"/>
                <w:sz w:val="19"/>
              </w:rPr>
              <w:t>3 — Os operadores não devem manter cães ou gatos em contentores.</w:t>
            </w:r>
          </w:p>
          <w:p>
            <w:pPr>
              <w:spacing w:after="0" w:before="140"/>
              <w:ind w:right="80" w:left="80" w:firstLine="0"/>
            </w:pPr>
            <w:r>
              <w:rPr>
                <w:rFonts w:ascii="Calibri" w:hAnsi="Calibri"/>
                <w:b w:val="0"/>
                <w:i/>
                <w:color w:val="222222"/>
                <w:sz w:val="19"/>
              </w:rPr>
              <w:t>Por derrogação, contentores podem ser utilizados apenas para transporte, isolamento de curta duração de cães ou gatos individuais e durante participação em espetáculos, exposições e competições, para cachorros ou gatinhos com capacidade de termorregulação reduzida ou cachorros ou gatinhos juntamente com as suas mães, desde que o stress seja minimizado e o sofrimento evitado e os cães e gatos sejam capazes de estar de pé e deitar-se numa posição natural.</w:t>
            </w:r>
          </w:p>
          <w:p>
            <w:pPr>
              <w:spacing w:after="0" w:before="140"/>
              <w:ind w:right="80" w:left="80" w:firstLine="0"/>
            </w:pPr>
            <w:r>
              <w:rPr>
                <w:rFonts w:ascii="Calibri" w:hAnsi="Calibri"/>
                <w:b w:val="0"/>
                <w:i/>
                <w:color w:val="222222"/>
                <w:sz w:val="19"/>
              </w:rPr>
              <w:t>4 — Os operadores não devem manter cães com mais de 8 semanas exclusivamente em recintos fechados. Esses cães devem ter acesso diário a uma área ao ar livre, ou ser passeados diariamente, para permitir exercício, exploração e socialização. A duração do acesso diário a uma área ao ar livre ou passeio deve ser mínimo uma hora no total. O operador pode derrogar destes requisitos apenas com base em aconselhamento escrito de um médico veterinário.</w:t>
            </w:r>
          </w:p>
          <w:p>
            <w:pPr>
              <w:spacing w:after="0" w:before="140"/>
              <w:ind w:right="80" w:left="80" w:firstLine="0"/>
            </w:pPr>
            <w:r>
              <w:rPr>
                <w:rFonts w:ascii="Calibri" w:hAnsi="Calibri"/>
                <w:b w:val="0"/>
                <w:i/>
                <w:color w:val="222222"/>
                <w:sz w:val="19"/>
              </w:rPr>
              <w:t>5 — Quando gatos são mantidos em viveiros, os operadores devem desenhar e construir recintos individuais que permitam aos gatos moverem-se livremente e expressar o seu comportamento natural.</w:t>
            </w:r>
          </w:p>
          <w:p>
            <w:pPr>
              <w:spacing w:after="0" w:before="140"/>
              <w:ind w:right="80" w:left="80" w:firstLine="0"/>
            </w:pPr>
            <w:r>
              <w:rPr>
                <w:rFonts w:ascii="Calibri" w:hAnsi="Calibri"/>
                <w:b w:val="0"/>
                <w:i/>
                <w:color w:val="222222"/>
                <w:sz w:val="19"/>
              </w:rPr>
              <w:t>6 — Os operadores de estabelecimentos de criação e venda devem assegurar que em áreas fechadas onde cães e gatos são mantidos, uma zona termoneutra apropriada é mantida levando em conta o seu tipo de pelagem, idade, tamanho, raça e saúde.</w:t>
            </w:r>
          </w:p>
          <w:p>
            <w:pPr>
              <w:spacing w:after="0" w:before="140"/>
              <w:ind w:right="80" w:left="80" w:firstLine="0"/>
            </w:pPr>
            <w:r>
              <w:rPr>
                <w:rFonts w:ascii="Calibri" w:hAnsi="Calibri"/>
                <w:b w:val="0"/>
                <w:i/>
                <w:color w:val="222222"/>
                <w:sz w:val="19"/>
              </w:rPr>
              <w:t>6a — Os operadores de estabelecimentos de criação e venda devem utilizar, quando necessário, sistemas de aquecimento ou arrefecimento para manter boa qualidade do ar, temperatura apropriada em recintos fechados nos seus estabelecimentos, e remover humidade excessiva.</w:t>
            </w:r>
          </w:p>
          <w:p>
            <w:pPr>
              <w:spacing w:after="0" w:before="140"/>
              <w:ind w:right="80" w:left="80" w:firstLine="0"/>
            </w:pPr>
            <w:r>
              <w:rPr>
                <w:rFonts w:ascii="Calibri" w:hAnsi="Calibri"/>
                <w:b w:val="0"/>
                <w:i/>
                <w:color w:val="222222"/>
                <w:sz w:val="19"/>
              </w:rPr>
              <w:t>7 — Os operadores devem assegurar que os cães e gatos são expostos a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parágrafo anterior,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 Os parágrafos 2(a), (b), (ba) (da) (e), 6, 6a e 7 não se aplicam aos cães de guarda de gado, nem aos cães de pastoreio, durante os períodos em que tais cães são utilizados para guarda ou pastoreio no contexto de transumância sazonal a pé. O parágrafo 2(da) não se aplica aos cães de guarda de gado durante os períodos em que tais cães são utilizados para fins de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alojamento para cães e gatos em diferentes tipos de estabelecimentos (criação, venda, abrigos).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5b.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medidas são tomadas para satisfazer as necessidades comportamentais dos cães ou gatos de acordo com o ponto 4 do Anexo I.</w:t>
            </w:r>
          </w:p>
          <w:p>
            <w:pPr>
              <w:spacing w:after="0" w:before="140"/>
              <w:ind w:right="80" w:left="80" w:firstLine="0"/>
            </w:pPr>
            <w:r>
              <w:rPr>
                <w:rFonts w:ascii="Calibri" w:hAnsi="Calibri"/>
                <w:b w:val="0"/>
                <w:i/>
                <w:color w:val="222222"/>
                <w:sz w:val="19"/>
              </w:rPr>
              <w:t>2 — Os operadores não devem manter cães ou gatos em áreas que restringem os seus movimentos naturais, exceto no caso do Artigo 12(3),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colheita de amostras e vacinações;</w:t>
            </w:r>
          </w:p>
          <w:p>
            <w:pPr>
              <w:spacing w:after="0" w:before="20"/>
              <w:ind w:right="80" w:left="360" w:hanging="280"/>
            </w:pPr>
            <w:r>
              <w:rPr>
                <w:rFonts w:ascii="Calibri" w:hAnsi="Calibri"/>
                <w:b w:val="0"/>
                <w:i/>
                <w:color w:val="222222"/>
                <w:sz w:val="19"/>
              </w:rPr>
              <w:t>d) procedimentos para limpeza, higiene, saúde ou fins reprodutivos que não o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 A amarração por mais de 1 hora é proibida, exceto pela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 Os Estados-Membros podem conceder derrogações do parágrafo 3 para cães destinados ao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 Os operadores devem assegurar que condições estão em lugar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 Os operadores devem assegurar que cães ou gatos podem socializar de acordo com o ponto 4 do Anexo I. Os operadores de estabelecimentos de criação devem documentar sua estratégia para tal socialização.</w:t>
            </w:r>
          </w:p>
          <w:p>
            <w:pPr>
              <w:spacing w:after="0" w:before="140"/>
              <w:ind w:right="80" w:left="80" w:firstLine="0"/>
            </w:pPr>
            <w:r>
              <w:rPr>
                <w:rFonts w:ascii="Calibri" w:hAnsi="Calibri"/>
                <w:b w:val="0"/>
                <w:i/>
                <w:color w:val="222222"/>
                <w:sz w:val="19"/>
              </w:rPr>
              <w:t>5a — O parágrafo anterior não se aplica aos cães de guarda de gado mantidos em estabelecimentos de criação durante os períodos em que tais cães são utilizados para fins de guarda ou treino nem aos cães de pastoreio durante a transumância sazonal.</w:t>
            </w:r>
          </w:p>
          <w:p>
            <w:pPr>
              <w:spacing w:after="0" w:before="140"/>
              <w:ind w:right="80" w:left="80" w:firstLine="0"/>
            </w:pPr>
            <w:r>
              <w:rPr>
                <w:rFonts w:ascii="Calibri" w:hAnsi="Calibri"/>
                <w:b w:val="0"/>
                <w:i/>
                <w:color w:val="222222"/>
                <w:sz w:val="19"/>
              </w:rPr>
              <w:t>5b — Os operadores devem assegurar que enriquecimento é fornecido e acessível a todos os cães ou gatos, criando um ambiente estimulante, permitindo comportamento específico da espécie e reduzindo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 satisfação das necessidades comportamentais de cães e gatos. Proibição de retenção em áreas restritivas.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80" w:firstLine="0"/>
            </w:pPr>
            <w:r>
              <w:rPr>
                <w:rFonts w:ascii="Calibri" w:hAnsi="Calibri"/>
                <w:b w:val="0"/>
                <w:i w:val="0"/>
                <w:color w:val="222222"/>
                <w:sz w:val="19"/>
              </w:rPr>
              <w:t>da) using prong collars;</w:t>
            </w:r>
          </w:p>
          <w:p>
            <w:pPr>
              <w:spacing w:after="0" w:before="20"/>
              <w:ind w:right="80" w:left="80" w:firstLine="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mutilações, incluindo corte de orelhas, corte de cauda, remoção de garras ou outra amputação parcial ou completa de dígitos, e ressecção de cordas vocais ou pregas, não são realizadas a menos que seja por indicação médica, que pode incluir profilática, com o único propósito de preservar, melhorar a saúde de cães ou gatos ou prevenir lesões.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 A indicação médica para a mutilação e os detalhes do procedimento realizado devem ser documentados por um médico veterinário. Este documento deve ser retido pelo operador até o cão ou gato, juntamente com este documento, ser transferido para outro estabelecimento ou proprietário. O operador do estabelecimento onde a mutilação foi realizada deve reter uma cópia do documento por três anos após a transferência do cão ou gato.</w:t>
            </w:r>
          </w:p>
          <w:p>
            <w:pPr>
              <w:spacing w:after="0" w:before="140"/>
              <w:ind w:right="80" w:left="80" w:firstLine="0"/>
            </w:pPr>
            <w:r>
              <w:rPr>
                <w:rFonts w:ascii="Calibri" w:hAnsi="Calibri"/>
                <w:b w:val="0"/>
                <w:i/>
                <w:color w:val="222222"/>
                <w:sz w:val="19"/>
              </w:rPr>
              <w:t>1b — Por derrogação do parágrafo 1, os Estados-Membros podem permitir corte de orelhas por entalhe ou corte de orelhas de gato no contexto de marcação de gatos vadios quando castrados sob um programa de captura-castração-libertação.</w:t>
            </w:r>
          </w:p>
          <w:p>
            <w:pPr>
              <w:spacing w:after="0" w:before="140"/>
              <w:ind w:right="80" w:left="80" w:firstLine="0"/>
            </w:pPr>
            <w:r>
              <w:rPr>
                <w:rFonts w:ascii="Calibri" w:hAnsi="Calibri"/>
                <w:b w:val="0"/>
                <w:i/>
                <w:color w:val="222222"/>
                <w:sz w:val="19"/>
              </w:rPr>
              <w:t>2 — Os operadores devem assegurar que a castração é realizada apenas sob anestesia e analgesia prolongada e por um médico veterinário. Por derrogação, os Estados-Membros podem permitir que a castração de gatos machos seja realizada por um enfermeiro veterinário licenciado.</w:t>
            </w:r>
          </w:p>
          <w:p>
            <w:pPr>
              <w:spacing w:after="0" w:before="140"/>
              <w:ind w:right="80" w:left="80" w:firstLine="0"/>
            </w:pPr>
            <w:r>
              <w:rPr>
                <w:rFonts w:ascii="Calibri" w:hAnsi="Calibri"/>
                <w:b w:val="0"/>
                <w:i/>
                <w:color w:val="222222"/>
                <w:sz w:val="19"/>
              </w:rPr>
              <w:t>3 —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amarração de partes do corpo a menos que por motivos médicos, caso em que a duração deve ser limitada ao período mínimo necessário;</w:t>
            </w:r>
          </w:p>
          <w:p>
            <w:pPr>
              <w:spacing w:after="0" w:before="20"/>
              <w:ind w:right="80" w:left="360" w:hanging="280"/>
            </w:pPr>
            <w:r>
              <w:rPr>
                <w:rFonts w:ascii="Calibri" w:hAnsi="Calibri"/>
                <w:b w:val="0"/>
                <w:i/>
                <w:color w:val="222222"/>
                <w:sz w:val="19"/>
              </w:rPr>
              <w:t>b) chutar, bater, arrastar, lançar, apertar cães ou gatos;</w:t>
            </w:r>
          </w:p>
          <w:p>
            <w:pPr>
              <w:spacing w:after="0" w:before="20"/>
              <w:ind w:right="80" w:left="360" w:hanging="280"/>
            </w:pPr>
            <w:r>
              <w:rPr>
                <w:rFonts w:ascii="Calibri" w:hAnsi="Calibri"/>
                <w:b w:val="0"/>
                <w:i/>
                <w:color w:val="222222"/>
                <w:sz w:val="19"/>
              </w:rPr>
              <w:t>c) aplicação de corrente elétrica a cães ou gatos a menos que realizada por motivos médicos;</w:t>
            </w:r>
          </w:p>
          <w:p>
            <w:pPr>
              <w:spacing w:after="0" w:before="20"/>
              <w:ind w:right="80" w:left="360" w:hanging="280"/>
            </w:pPr>
            <w:r>
              <w:rPr>
                <w:rFonts w:ascii="Calibri" w:hAnsi="Calibri"/>
                <w:b w:val="0"/>
                <w:i/>
                <w:color w:val="222222"/>
                <w:sz w:val="19"/>
              </w:rPr>
              <w:t>d) uso de focinheiras, a menos que necessário por motivos médicos, segurança animal ou humana, caso em que a duração deve ser limitada ao período mínimo necessário e o cão ou gato deve ser supervisionado;</w:t>
            </w:r>
          </w:p>
          <w:p>
            <w:pPr>
              <w:spacing w:after="0" w:before="20"/>
              <w:ind w:right="80" w:left="80" w:firstLine="0"/>
            </w:pPr>
            <w:r>
              <w:rPr>
                <w:rFonts w:ascii="Calibri" w:hAnsi="Calibri"/>
                <w:b w:val="0"/>
                <w:i/>
                <w:color w:val="222222"/>
                <w:sz w:val="19"/>
              </w:rPr>
              <w:t>da) uso de coleiras de espinhos;</w:t>
            </w:r>
          </w:p>
          <w:p>
            <w:pPr>
              <w:spacing w:after="0" w:before="20"/>
              <w:ind w:right="80" w:left="80" w:firstLine="0"/>
            </w:pPr>
            <w:r>
              <w:rPr>
                <w:rFonts w:ascii="Calibri" w:hAnsi="Calibri"/>
                <w:b w:val="0"/>
                <w:i/>
                <w:color w:val="222222"/>
                <w:sz w:val="19"/>
              </w:rPr>
              <w:t>db) uso de coleiras de enforcamento sem sistema de segurança;</w:t>
            </w:r>
          </w:p>
          <w:p>
            <w:pPr>
              <w:spacing w:after="0" w:before="20"/>
              <w:ind w:right="80" w:left="360" w:hanging="280"/>
            </w:pPr>
            <w:r>
              <w:rPr>
                <w:rFonts w:ascii="Calibri" w:hAnsi="Calibri"/>
                <w:b w:val="0"/>
                <w:i/>
                <w:color w:val="222222"/>
                <w:sz w:val="19"/>
              </w:rPr>
              <w:t>e) levantamento de cães ou gatos pelos membros, cabeça, orelhas, cauda ou pelo, ou levantamento de cães ou gatos adultos pela pele.</w:t>
            </w:r>
          </w:p>
          <w:p>
            <w:pPr>
              <w:spacing w:after="0" w:before="140"/>
              <w:ind w:right="80" w:left="80" w:firstLine="0"/>
            </w:pPr>
            <w:r>
              <w:rPr>
                <w:rFonts w:ascii="Calibri" w:hAnsi="Calibri"/>
                <w:b w:val="0"/>
                <w:i/>
                <w:color w:val="222222"/>
                <w:sz w:val="19"/>
              </w:rPr>
              <w:t>4 — Os Estados-Membros podem conceder derrogações do parágrafo 3 para cães destinados ao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relativos a práticas dolorosas e mutilações em cães e gatos. Restrições a práticas de manipulação causando dor.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20a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competent authorities of the Member States shall be controllers within the meaning of Regulation (EU) 2016/679 in relation to the processing of personal data collected under Article 7, Article 7a of this Regulation as well as under Article 19(1)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17a (6), Article 19 (2a) and the third subparagraph of Article 21(4a) of this Regulation, as well as under Article 19(1) of this Regulation when used for the purposes of compliance with Article 108 of Regulation (EU) 2017/625 and of reporting obligations under this Regulation.</w:t>
            </w:r>
          </w:p>
          <w:p>
            <w:pPr>
              <w:spacing w:after="0" w:before="140"/>
              <w:ind w:right="80" w:left="80" w:firstLine="0"/>
            </w:pPr>
            <w:r>
              <w:rPr>
                <w:rFonts w:ascii="Calibri" w:hAnsi="Calibri"/>
                <w:b w:val="0"/>
                <w:i w:val="0"/>
                <w:color w:val="222222"/>
                <w:sz w:val="19"/>
              </w:rPr>
              <w:t>It shall be prohibited for any person having access to the personal data referred to in the first and second sub-paragraphs to divulge any personal data, the knowledge of which was acquired in the exercise of their duties or otherwise incidentally to such exercise.</w:t>
            </w:r>
          </w:p>
          <w:p>
            <w:pPr>
              <w:spacing w:after="0" w:before="140"/>
              <w:ind w:right="80" w:left="80" w:firstLine="0"/>
            </w:pPr>
            <w:r>
              <w:rPr>
                <w:rFonts w:ascii="Calibri" w:hAnsi="Calibri"/>
                <w:b w:val="0"/>
                <w:i w:val="0"/>
                <w:color w:val="222222"/>
                <w:sz w:val="19"/>
              </w:rPr>
              <w:t>Member States and the Commission shall take all appropriate measures to address infringements of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other purposes than:</w:t>
            </w:r>
          </w:p>
          <w:p>
            <w:pPr>
              <w:spacing w:after="0" w:before="100"/>
              <w:ind w:right="80" w:left="360" w:hanging="280"/>
            </w:pPr>
            <w:r>
              <w:rPr>
                <w:rFonts w:ascii="Calibri" w:hAnsi="Calibri"/>
                <w:b w:val="0"/>
                <w:i w:val="0"/>
                <w:color w:val="222222"/>
                <w:sz w:val="19"/>
              </w:rPr>
              <w:t>a) official controls by Member States competent authorities of the compliance with the welfare and traceability requirements under this regulation and compliance with Regulation (EU) 2016/429, including and detection of fraudulent practices, and</w:t>
            </w:r>
          </w:p>
          <w:p>
            <w:pPr>
              <w:spacing w:after="0" w:before="100"/>
              <w:ind w:right="80" w:left="360" w:hanging="280"/>
            </w:pPr>
            <w:r>
              <w:rPr>
                <w:rFonts w:ascii="Calibri" w:hAnsi="Calibri"/>
                <w:b w:val="0"/>
                <w:i w:val="0"/>
                <w:color w:val="222222"/>
                <w:sz w:val="19"/>
              </w:rPr>
              <w:t>b) compliance by the Commission of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 in the case of Article 7 and Article 7a, 10 years after the date of cessation of the activity of the establishment;</w:t>
            </w:r>
          </w:p>
          <w:p>
            <w:pPr>
              <w:spacing w:after="0" w:before="100"/>
              <w:ind w:right="80" w:left="360" w:hanging="280"/>
            </w:pPr>
            <w:r>
              <w:rPr>
                <w:rFonts w:ascii="Calibri" w:hAnsi="Calibri"/>
                <w:b w:val="0"/>
                <w:i w:val="0"/>
                <w:color w:val="222222"/>
                <w:sz w:val="19"/>
              </w:rPr>
              <w:t>b) in the case of Article 17a(6), 18 months after the generation of the token referred to in Article 17a(3)(c).</w:t>
            </w:r>
          </w:p>
          <w:p>
            <w:pPr>
              <w:spacing w:after="0" w:before="100"/>
              <w:ind w:right="80" w:left="360" w:hanging="280"/>
            </w:pPr>
            <w:r>
              <w:rPr>
                <w:rFonts w:ascii="Calibri" w:hAnsi="Calibri"/>
                <w:b w:val="0"/>
                <w:i w:val="0"/>
                <w:color w:val="222222"/>
                <w:sz w:val="19"/>
              </w:rPr>
              <w:t>c) in case of Article 19(1), and Article 19(2a), 25 years after the first registration of the dog or cat in the database referred to in that Article or 5 years after the recording of the death of the dog or cat in that database;</w:t>
            </w:r>
          </w:p>
          <w:p>
            <w:pPr>
              <w:spacing w:after="0" w:before="100"/>
              <w:ind w:right="80" w:left="360" w:hanging="280"/>
            </w:pPr>
            <w:r>
              <w:rPr>
                <w:rFonts w:ascii="Calibri" w:hAnsi="Calibri"/>
                <w:b w:val="0"/>
                <w:i w:val="0"/>
                <w:color w:val="222222"/>
                <w:sz w:val="19"/>
              </w:rPr>
              <w:t>d) in case of the third subparagraph of Article 21(4a),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As autoridades competentes dos Estados-Membros devem ser controladoras no sentido do Regulamento (UE) 2016/679 em relação ao tratamento de dados pessoais recolhidos de acordo com o Artigo 7, Artigo 7a do presente Regulamento, bem como no âmbito do Artigo 19(1) do presente Regulamento quando utilizados para efeitos de inspeção oficial.</w:t>
            </w:r>
          </w:p>
          <w:p>
            <w:pPr>
              <w:spacing w:after="0" w:before="140"/>
              <w:ind w:right="80" w:left="80" w:firstLine="0"/>
            </w:pPr>
            <w:r>
              <w:rPr>
                <w:rFonts w:ascii="Calibri" w:hAnsi="Calibri"/>
                <w:b w:val="0"/>
                <w:i/>
                <w:color w:val="222222"/>
                <w:sz w:val="19"/>
              </w:rPr>
              <w:t>A Comissão deve ser controladora no sentido do Regulamento (UE) 2018/1725 em relação ao tratamento de dados pessoais recolhidos de acordo com o Artigo 17a (6), Artigo 19 (2a) e o terceiro parágrafo do Artigo 21(4a) do presente Regulamento, bem como no âmbito do Artigo 19(1) do presente Regulamento quando utilizados para efeitos de conformidade com o Artigo 108 do Regulamento (UE) 2017/625 e de obrigações de comunicação de informações previstas no presente Regulamento.</w:t>
            </w:r>
          </w:p>
          <w:p>
            <w:pPr>
              <w:spacing w:after="0" w:before="140"/>
              <w:ind w:right="80" w:left="80" w:firstLine="0"/>
            </w:pPr>
            <w:r>
              <w:rPr>
                <w:rFonts w:ascii="Calibri" w:hAnsi="Calibri"/>
                <w:b w:val="0"/>
                <w:i/>
                <w:color w:val="222222"/>
                <w:sz w:val="19"/>
              </w:rPr>
              <w:t>Fica proibido a qualquer pessoa com acesso aos dados pessoais mencionados no primeiro e segundo parágrafos divulgar quaisquer dados pessoais, cuja notícia foi adquirida no exercício das suas funções ou de forma incidental a tal exercício.</w:t>
            </w:r>
          </w:p>
          <w:p>
            <w:pPr>
              <w:spacing w:after="0" w:before="140"/>
              <w:ind w:right="80" w:left="80" w:firstLine="0"/>
            </w:pPr>
            <w:r>
              <w:rPr>
                <w:rFonts w:ascii="Calibri" w:hAnsi="Calibri"/>
                <w:b w:val="0"/>
                <w:i/>
                <w:color w:val="222222"/>
                <w:sz w:val="19"/>
              </w:rPr>
              <w:t>Os Estados-Membros e a Comissão devem adotar todas as medidas apropriadas para fazer face aos incumprimentos dessa proibição.</w:t>
            </w:r>
          </w:p>
          <w:p>
            <w:pPr>
              <w:spacing w:after="0" w:before="140"/>
              <w:ind w:right="80" w:left="80" w:firstLine="0"/>
            </w:pPr>
            <w:r>
              <w:rPr>
                <w:rFonts w:ascii="Calibri" w:hAnsi="Calibri"/>
                <w:b w:val="0"/>
                <w:i/>
                <w:color w:val="222222"/>
                <w:sz w:val="19"/>
              </w:rPr>
              <w:t>[... redução para brevidade - ver regulamento completo para texto integral]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14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14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14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Legislação portuguesa cobre completamente com incorporação de GDPR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Cobertura expressa em Art. 55.º</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Implementação completa em Arts. 20.º</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de proteção de dados do Artigo 20a. O SIAC é configurado como sistema compliant com GDPR (EU 2016/679) e com regulamentações de proteção de dados. Não há necessidade de alterações legislativas.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confirmadas por agente de pesquisa em 2026-03-02</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Dogs and cats may only be entered into the Union for placing on the Union market provided that the following conditions are met:</w:t>
            </w:r>
          </w:p>
          <w:p>
            <w:pPr>
              <w:spacing w:after="0" w:before="100"/>
              <w:ind w:right="80" w:left="360" w:hanging="280"/>
            </w:pPr>
            <w:r>
              <w:rPr>
                <w:rFonts w:ascii="Calibri" w:hAnsi="Calibri"/>
                <w:b w:val="0"/>
                <w:i w:val="0"/>
                <w:color w:val="222222"/>
                <w:sz w:val="19"/>
              </w:rPr>
              <w:t>a) they have been breed and kept in compliance with any of the following:</w:t>
            </w:r>
          </w:p>
          <w:p>
            <w:pPr>
              <w:spacing w:after="0" w:before="20"/>
              <w:ind w:right="80" w:left="360" w:hanging="280"/>
            </w:pPr>
            <w:r>
              <w:rPr>
                <w:rFonts w:ascii="Calibri" w:hAnsi="Calibri"/>
                <w:b w:val="0"/>
                <w:i w:val="0"/>
                <w:color w:val="222222"/>
                <w:sz w:val="19"/>
              </w:rPr>
              <w:t>i) Chapter II of this Regulation;</w:t>
            </w:r>
          </w:p>
          <w:p>
            <w:pPr>
              <w:spacing w:after="0" w:before="20"/>
              <w:ind w:right="80" w:left="80" w:firstLine="0"/>
            </w:pPr>
            <w:r>
              <w:rPr>
                <w:rFonts w:ascii="Calibri" w:hAnsi="Calibri"/>
                <w:b w:val="0"/>
                <w:i w:val="0"/>
                <w:color w:val="222222"/>
                <w:sz w:val="19"/>
              </w:rPr>
              <w:t>ii) conditions recognised by the Union in accordance with Article 129 of Regulation (EU) 2017/625 to be equivalent to those set out by Chapter II of this Regulation; or</w:t>
            </w:r>
          </w:p>
          <w:p>
            <w:pPr>
              <w:spacing w:after="0" w:before="20"/>
              <w:ind w:right="80" w:left="80" w:firstLine="0"/>
            </w:pPr>
            <w:r>
              <w:rPr>
                <w:rFonts w:ascii="Calibri" w:hAnsi="Calibri"/>
                <w:b w:val="0"/>
                <w:i w:val="0"/>
                <w:color w:val="222222"/>
                <w:sz w:val="19"/>
              </w:rPr>
              <w:t>iii) where applicable, requirements contained in a specific agreement between the Union and the exporting country.</w:t>
            </w:r>
          </w:p>
          <w:p>
            <w:pPr>
              <w:spacing w:after="0" w:before="100"/>
              <w:ind w:right="80" w:left="360" w:hanging="280"/>
            </w:pPr>
            <w:r>
              <w:rPr>
                <w:rFonts w:ascii="Calibri" w:hAnsi="Calibri"/>
                <w:b w:val="0"/>
                <w:i w:val="0"/>
                <w:color w:val="222222"/>
                <w:sz w:val="19"/>
              </w:rPr>
              <w:t>b) they come from a third country or territory and an establishment listed in accordance with Articles 126 and 127 of Regulation (EU) 2017/625.</w:t>
            </w:r>
          </w:p>
          <w:p>
            <w:pPr>
              <w:spacing w:after="0" w:before="140"/>
              <w:ind w:right="80" w:left="80" w:firstLine="0"/>
            </w:pPr>
            <w:r>
              <w:rPr>
                <w:rFonts w:ascii="Calibri" w:hAnsi="Calibri"/>
                <w:b w:val="0"/>
                <w:i w:val="0"/>
                <w:color w:val="222222"/>
                <w:sz w:val="19"/>
              </w:rPr>
              <w:t>2. The official certificate referred to in Article 126(2)(c) of Regulation (EU) 2017/625 accompanying dogs and cats entering into the Union from third countries and territories to be placed on the Union market, shall contain an attestation certifying compliance with paragraph 1 of this Article.</w:t>
            </w:r>
          </w:p>
          <w:p>
            <w:pPr>
              <w:spacing w:after="0" w:before="140"/>
              <w:ind w:right="80" w:left="80" w:firstLine="0"/>
            </w:pPr>
            <w:r>
              <w:rPr>
                <w:rFonts w:ascii="Calibri" w:hAnsi="Calibri"/>
                <w:b w:val="0"/>
                <w:i w:val="0"/>
                <w:color w:val="222222"/>
                <w:sz w:val="19"/>
              </w:rPr>
              <w:t>3. Dogs and cats entering into the Union to be placed on the Union market shall be identified before their entry by a veterinarian by means of an injectable transponder containing a readable microchip compliant with Annex II.</w:t>
            </w:r>
          </w:p>
          <w:p>
            <w:pPr>
              <w:spacing w:after="0" w:before="140"/>
              <w:ind w:right="80" w:left="80" w:firstLine="0"/>
            </w:pPr>
            <w:r>
              <w:rPr>
                <w:rFonts w:ascii="Calibri" w:hAnsi="Calibri"/>
                <w:b w:val="0"/>
                <w:i w:val="0"/>
                <w:color w:val="222222"/>
                <w:sz w:val="19"/>
              </w:rPr>
              <w:t>4. The operator responsible for the import of dogs or cats entering into the Union shall ensure the registration of the dogs or cats by a veterinarian into a national database referred to in Article 19(1), within 5 working days after their entry into the Union.</w:t>
            </w:r>
          </w:p>
          <w:p>
            <w:pPr>
              <w:spacing w:after="0" w:before="140"/>
              <w:ind w:right="80" w:left="80" w:firstLine="0"/>
            </w:pPr>
            <w:r>
              <w:rPr>
                <w:rFonts w:ascii="Calibri" w:hAnsi="Calibri"/>
                <w:b w:val="0"/>
                <w:i w:val="0"/>
                <w:color w:val="222222"/>
                <w:sz w:val="19"/>
              </w:rPr>
              <w:t>[... ver regulamento completo para restantes parágrafos 4a e 5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partir de [data de implementação], os cães e os gatos só podem ser introduzidos na União para colocação no mercado da União se tiverem estado detidos em conformidade com o indicado numa das alíneas seguintes...</w:t>
            </w:r>
          </w:p>
          <w:p>
            <w:pPr>
              <w:spacing w:after="0" w:before="140"/>
              <w:ind w:right="80" w:left="80" w:firstLine="0"/>
            </w:pPr>
            <w:r>
              <w:rPr>
                <w:rFonts w:ascii="Calibri" w:hAnsi="Calibri"/>
                <w:b w:val="0"/>
                <w:i/>
                <w:color w:val="222222"/>
                <w:sz w:val="19"/>
              </w:rPr>
              <w:t>[Tradução 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14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14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14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14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14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i w:val="0"/>
                <w:color w:val="333333"/>
                <w:sz w:val="18"/>
              </w:rPr>
              <w:t>Artigo 2.º - Âmbito de Aplicação</w:t>
            </w:r>
          </w:p>
          <w:p>
            <w:pPr>
              <w:spacing w:after="0" w:before="140"/>
              <w:ind w:right="80" w:left="80" w:firstLine="0"/>
            </w:pPr>
            <w:r>
              <w:rPr>
                <w:rFonts w:ascii="Calibri" w:hAnsi="Calibri"/>
                <w:b w:val="0"/>
                <w:i w:val="0"/>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entrada/importação mas sem database online de viajantes pré-notificação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Implementa controlos sanitários e requisitos de identificação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 no território nacional com condições, não cobre movimento não-comercial pré-notificação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Parcialmente coberto. Complementação necessária para movimento não-comercial e sistema iRASFF.</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Commission is empowered to adopt delegated acts in accordance with Article 23 amending the Annexes to this Regulation to take into account of scientific and technical progress, including, when relevant, scientific opinions of the European Food Safety Authority, as regards:</w:t>
            </w:r>
          </w:p>
          <w:p>
            <w:pPr>
              <w:spacing w:after="0" w:before="100"/>
              <w:ind w:right="80" w:left="360" w:hanging="280"/>
            </w:pPr>
            <w:r>
              <w:rPr>
                <w:rFonts w:ascii="Calibri" w:hAnsi="Calibri"/>
                <w:b w:val="0"/>
                <w:i w:val="0"/>
                <w:color w:val="222222"/>
                <w:sz w:val="19"/>
              </w:rPr>
              <w:t>a) a suitable number of animal caretakers in breeding and selling establishments;</w:t>
            </w:r>
          </w:p>
          <w:p>
            <w:pPr>
              <w:spacing w:after="0" w:before="100"/>
              <w:ind w:right="80" w:left="360" w:hanging="280"/>
            </w:pPr>
            <w:r>
              <w:rPr>
                <w:rFonts w:ascii="Calibri" w:hAnsi="Calibri"/>
                <w:b w:val="0"/>
                <w:i w:val="0"/>
                <w:color w:val="222222"/>
                <w:sz w:val="19"/>
              </w:rPr>
              <w:t>b) watering and feeding requirements and weaning process;</w:t>
            </w:r>
          </w:p>
          <w:p>
            <w:pPr>
              <w:spacing w:after="0" w:before="100"/>
              <w:ind w:right="80" w:left="360" w:hanging="280"/>
            </w:pPr>
            <w:r>
              <w:rPr>
                <w:rFonts w:ascii="Calibri" w:hAnsi="Calibri"/>
                <w:b w:val="0"/>
                <w:i w:val="0"/>
                <w:color w:val="222222"/>
                <w:sz w:val="19"/>
              </w:rPr>
              <w:t>c) temperature ranges;</w:t>
            </w:r>
          </w:p>
          <w:p>
            <w:pPr>
              <w:spacing w:after="0" w:before="100"/>
              <w:ind w:right="80" w:left="360" w:hanging="280"/>
            </w:pPr>
            <w:r>
              <w:rPr>
                <w:rFonts w:ascii="Calibri" w:hAnsi="Calibri"/>
                <w:b w:val="0"/>
                <w:i w:val="0"/>
                <w:color w:val="222222"/>
                <w:sz w:val="19"/>
              </w:rPr>
              <w:t>d) lighting requirements;</w:t>
            </w:r>
          </w:p>
          <w:p>
            <w:pPr>
              <w:spacing w:after="0" w:before="100"/>
              <w:ind w:right="80" w:left="360" w:hanging="280"/>
            </w:pPr>
            <w:r>
              <w:rPr>
                <w:rFonts w:ascii="Calibri" w:hAnsi="Calibri"/>
                <w:b w:val="0"/>
                <w:i w:val="0"/>
                <w:color w:val="222222"/>
                <w:sz w:val="19"/>
              </w:rPr>
              <w:t>e) ammonia and carbon monoxide levels;</w:t>
            </w:r>
          </w:p>
          <w:p>
            <w:pPr>
              <w:spacing w:after="0" w:before="100"/>
              <w:ind w:right="80" w:left="360" w:hanging="280"/>
            </w:pPr>
            <w:r>
              <w:rPr>
                <w:rFonts w:ascii="Calibri" w:hAnsi="Calibri"/>
                <w:b w:val="0"/>
                <w:i w:val="0"/>
                <w:color w:val="222222"/>
                <w:sz w:val="19"/>
              </w:rPr>
              <w:t>f) kennel and cattery design;</w:t>
            </w:r>
          </w:p>
          <w:p>
            <w:pPr>
              <w:spacing w:after="0" w:before="100"/>
              <w:ind w:right="80" w:left="360" w:hanging="280"/>
            </w:pPr>
            <w:r>
              <w:rPr>
                <w:rFonts w:ascii="Calibri" w:hAnsi="Calibri"/>
                <w:b w:val="0"/>
                <w:i w:val="0"/>
                <w:color w:val="222222"/>
                <w:sz w:val="19"/>
              </w:rPr>
              <w:t>g) group housing;</w:t>
            </w:r>
          </w:p>
          <w:p>
            <w:pPr>
              <w:spacing w:after="0" w:before="100"/>
              <w:ind w:right="80" w:left="360" w:hanging="280"/>
            </w:pPr>
            <w:r>
              <w:rPr>
                <w:rFonts w:ascii="Calibri" w:hAnsi="Calibri"/>
                <w:b w:val="0"/>
                <w:i w:val="0"/>
                <w:color w:val="222222"/>
                <w:sz w:val="19"/>
              </w:rPr>
              <w:t>h) space allowances for different categories of dogs and cats;</w:t>
            </w:r>
          </w:p>
          <w:p>
            <w:pPr>
              <w:spacing w:after="0" w:before="100"/>
              <w:ind w:right="80" w:left="360" w:hanging="280"/>
            </w:pPr>
            <w:r>
              <w:rPr>
                <w:rFonts w:ascii="Calibri" w:hAnsi="Calibri"/>
                <w:b w:val="0"/>
                <w:i w:val="0"/>
                <w:color w:val="222222"/>
                <w:sz w:val="19"/>
              </w:rPr>
              <w:t>i) frequency of pregnancies;</w:t>
            </w:r>
          </w:p>
          <w:p>
            <w:pPr>
              <w:spacing w:after="0" w:before="100"/>
              <w:ind w:right="80" w:left="360" w:hanging="280"/>
            </w:pPr>
            <w:r>
              <w:rPr>
                <w:rFonts w:ascii="Calibri" w:hAnsi="Calibri"/>
                <w:b w:val="0"/>
                <w:i w:val="0"/>
                <w:color w:val="222222"/>
                <w:sz w:val="19"/>
              </w:rPr>
              <w:t>j) minimum and maximum age of bitches and queens for breeding;</w:t>
            </w:r>
          </w:p>
          <w:p>
            <w:pPr>
              <w:spacing w:after="0" w:before="100"/>
              <w:ind w:right="80" w:left="360" w:hanging="280"/>
            </w:pPr>
            <w:r>
              <w:rPr>
                <w:rFonts w:ascii="Calibri" w:hAnsi="Calibri"/>
                <w:b w:val="0"/>
                <w:i w:val="0"/>
                <w:color w:val="222222"/>
                <w:sz w:val="19"/>
              </w:rPr>
              <w:t>k) socialisation, enrichment and other measures for meeting behavioural needs of dogs and cats;</w:t>
            </w:r>
          </w:p>
          <w:p>
            <w:pPr>
              <w:spacing w:after="0" w:before="100"/>
              <w:ind w:right="80" w:left="360" w:hanging="280"/>
            </w:pPr>
            <w:r>
              <w:rPr>
                <w:rFonts w:ascii="Calibri" w:hAnsi="Calibri"/>
                <w:b w:val="0"/>
                <w:i w:val="0"/>
                <w:color w:val="222222"/>
                <w:sz w:val="19"/>
              </w:rPr>
              <w:t>l) requirements for transponders used to individually identify dogs and cats;</w:t>
            </w:r>
          </w:p>
          <w:p>
            <w:pPr>
              <w:spacing w:after="0" w:before="100"/>
              <w:ind w:right="80" w:left="360" w:hanging="280"/>
            </w:pPr>
            <w:r>
              <w:rPr>
                <w:rFonts w:ascii="Calibri" w:hAnsi="Calibri"/>
                <w:b w:val="0"/>
                <w:i w:val="0"/>
                <w:color w:val="222222"/>
                <w:sz w:val="19"/>
              </w:rPr>
              <w:t>m) data to be collected for policy monitoring and evaluation.</w:t>
            </w:r>
          </w:p>
          <w:p>
            <w:pPr>
              <w:spacing w:after="0" w:before="140"/>
              <w:ind w:right="80" w:left="80" w:firstLine="0"/>
            </w:pPr>
            <w:r>
              <w:rPr>
                <w:rFonts w:ascii="Calibri" w:hAnsi="Calibri"/>
                <w:b w:val="0"/>
                <w:i w:val="0"/>
                <w:color w:val="222222"/>
                <w:sz w:val="19"/>
              </w:rPr>
              <w:t>2. Any additions of requirements in the Annexes shall be based on updated scientific or technical evidence, in particular regarding the specific conditions needed to ensure the welfare of the dogs and cats covered by the scope of this Regulation. Where relevant, those delegated acts shall take into account social, economic and environmental impacts and provide for sufficient transition periods to allow for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fica habilitada a adotar atos delegados, nos termos do artigo 23.º, que alterem os anexos do presente regulamento para ter em conta o progresso científico e técnico, incluindo, se for caso disso, os pareceres científicos da EFSA...</w:t>
            </w:r>
          </w:p>
          <w:p>
            <w:pPr>
              <w:spacing w:after="0" w:before="140"/>
              <w:ind w:right="80" w:left="80" w:firstLine="0"/>
            </w:pPr>
            <w:r>
              <w:rPr>
                <w:rFonts w:ascii="Calibri" w:hAnsi="Calibri"/>
                <w:b w:val="0"/>
                <w:i/>
                <w:color w:val="222222"/>
                <w:sz w:val="19"/>
              </w:rPr>
              <w:t>[Tradução 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3-8 e ANEXO do RGBEAC (proposta, jun. 2025)</w:t>
            </w:r>
          </w:p>
          <w:p>
            <w:pPr>
              <w:spacing w:after="0" w:before="140"/>
              <w:ind w:right="80" w:left="80" w:firstLine="0"/>
            </w:pPr>
            <w:r>
              <w:rPr>
                <w:rFonts w:ascii="Calibri" w:hAnsi="Calibri"/>
                <w:b w:val="0"/>
                <w:i w:val="0"/>
                <w:color w:val="222222"/>
                <w:sz w:val="19"/>
              </w:rPr>
              <w:t>Artigos 3.º a 8.º do Decreto-Lei que aprova o RGBEAC estabelecem mecanismo legislativo para alteração de diplomas anteriores. O RGBEAC contém um ANEXO estruturado com:</w:t>
            </w:r>
          </w:p>
          <w:p>
            <w:pPr>
              <w:spacing w:after="0" w:before="140"/>
              <w:ind w:right="80" w:left="80" w:firstLine="0"/>
            </w:pPr>
            <w:r>
              <w:rPr>
                <w:rFonts w:ascii="Calibri" w:hAnsi="Calibri"/>
                <w:b w:val="0"/>
                <w:i w:val="0"/>
                <w:color w:val="222222"/>
                <w:sz w:val="19"/>
              </w:rPr>
              <w:t>- TÍTULO I: Disposições gerais</w:t>
            </w:r>
          </w:p>
          <w:p>
            <w:pPr>
              <w:spacing w:after="0" w:before="20"/>
              <w:ind w:right="80" w:left="80" w:firstLine="0"/>
            </w:pPr>
            <w:r>
              <w:rPr>
                <w:rFonts w:ascii="Calibri" w:hAnsi="Calibri"/>
                <w:b w:val="0"/>
                <w:i w:val="0"/>
                <w:color w:val="222222"/>
                <w:sz w:val="19"/>
              </w:rPr>
              <w:t>- TÍTULO II: Obrigações e proibições (Lista Nacional de Animais, identificação, registo)</w:t>
            </w:r>
          </w:p>
          <w:p>
            <w:pPr>
              <w:spacing w:after="0" w:before="20"/>
              <w:ind w:right="80" w:left="80" w:firstLine="0"/>
            </w:pPr>
            <w:r>
              <w:rPr>
                <w:rFonts w:ascii="Calibri" w:hAnsi="Calibri"/>
                <w:b w:val="0"/>
                <w:i w:val="0"/>
                <w:color w:val="222222"/>
                <w:sz w:val="19"/>
              </w:rPr>
              <w:t>- TÍTULO III: Fiscalização, contraordenações, crimes e sanções</w:t>
            </w:r>
          </w:p>
          <w:p>
            <w:pPr>
              <w:spacing w:after="0" w:before="20"/>
              <w:ind w:right="80" w:left="80" w:firstLine="0"/>
            </w:pPr>
            <w:r>
              <w:rPr>
                <w:rFonts w:ascii="Calibri" w:hAnsi="Calibri"/>
                <w:b w:val="0"/>
                <w:i w:val="0"/>
                <w:color w:val="222222"/>
                <w:sz w:val="19"/>
              </w:rPr>
              <w:t>- TÍTULO V: Disposições finais</w:t>
            </w:r>
          </w:p>
          <w:p>
            <w:pPr>
              <w:spacing w:after="0" w:before="140"/>
              <w:ind w:right="80" w:left="80" w:firstLine="0"/>
            </w:pPr>
            <w:r>
              <w:rPr>
                <w:rFonts w:ascii="Calibri" w:hAnsi="Calibri"/>
                <w:b w:val="0"/>
                <w:i w:val="0"/>
                <w:color w:val="222222"/>
                <w:sz w:val="19"/>
              </w:rPr>
              <w:t>O ANEXO contém todas as disposições técnicas relativas a bem-estar, espaço disponível, temperatura, frequência de alimentação, e outros parâmetros correspondentes aos Anexos I-V do Regulamento EU 2023/0447.</w:t>
            </w:r>
          </w:p>
          <w:p>
            <w:pPr>
              <w:spacing w:after="0" w:before="140"/>
              <w:ind w:right="80" w:left="80" w:firstLine="0"/>
            </w:pPr>
            <w:r>
              <w:rPr>
                <w:rFonts w:ascii="Calibri" w:hAnsi="Calibri"/>
                <w:b w:val="0"/>
                <w:i w:val="0"/>
                <w:color w:val="222222"/>
                <w:sz w:val="19"/>
              </w:rPr>
              <w:t>NOTA: O mecanismo atual é legislativo padrão (alteração de Decreto-Lei por novo Decreto-Lei). NÃO existe autoridade delegada expressa para alteração por atos de execução, conforme previsto no Art. 22-24 do Regulamento EU 2023/0447.</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23.º e ANEXO II do Código do Animal (DL 214/2013)</w:t>
            </w:r>
          </w:p>
          <w:p>
            <w:pPr>
              <w:spacing w:after="0" w:before="14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1 - O alojamento de cães e gatos deve obedecer às dimensões mínimas indicadas no anexo II ao presente diploma.</w:t>
            </w:r>
          </w:p>
          <w:p>
            <w:pPr>
              <w:spacing w:after="0" w:before="140"/>
              <w:ind w:right="80" w:left="80" w:firstLine="0"/>
            </w:pPr>
            <w:r>
              <w:rPr>
                <w:rFonts w:ascii="Calibri" w:hAnsi="Calibri"/>
                <w:b w:val="0"/>
                <w:i w:val="0"/>
                <w:color w:val="222222"/>
                <w:sz w:val="19"/>
              </w:rPr>
              <w:t>ANEXO II - Parâmetros Técnicos de Alojamento</w:t>
            </w:r>
          </w:p>
          <w:p>
            <w:pPr>
              <w:spacing w:after="0" w:before="20"/>
              <w:ind w:right="80" w:left="80" w:firstLine="0"/>
            </w:pPr>
            <w:r>
              <w:rPr>
                <w:rFonts w:ascii="Calibri" w:hAnsi="Calibri"/>
                <w:b w:val="0"/>
                <w:i w:val="0"/>
                <w:color w:val="222222"/>
                <w:sz w:val="19"/>
              </w:rPr>
              <w:t>Contém requisitos para:</w:t>
            </w:r>
          </w:p>
          <w:p>
            <w:pPr>
              <w:spacing w:after="0" w:before="20"/>
              <w:ind w:right="80" w:left="80" w:firstLine="0"/>
            </w:pPr>
            <w:r>
              <w:rPr>
                <w:rFonts w:ascii="Calibri" w:hAnsi="Calibri"/>
                <w:b w:val="0"/>
                <w:i w:val="0"/>
                <w:color w:val="222222"/>
                <w:sz w:val="19"/>
              </w:rPr>
              <w:t>- Dimensões mínimas de gaiolas e recintos</w:t>
            </w:r>
          </w:p>
          <w:p>
            <w:pPr>
              <w:spacing w:after="0" w:before="20"/>
              <w:ind w:right="80" w:left="80" w:firstLine="0"/>
            </w:pPr>
            <w:r>
              <w:rPr>
                <w:rFonts w:ascii="Calibri" w:hAnsi="Calibri"/>
                <w:b w:val="0"/>
                <w:i w:val="0"/>
                <w:color w:val="222222"/>
                <w:sz w:val="19"/>
              </w:rPr>
              <w:t>- Superfícies de exercício</w:t>
            </w:r>
          </w:p>
          <w:p>
            <w:pPr>
              <w:spacing w:after="0" w:before="20"/>
              <w:ind w:right="80" w:left="80" w:firstLine="0"/>
            </w:pPr>
            <w:r>
              <w:rPr>
                <w:rFonts w:ascii="Calibri" w:hAnsi="Calibri"/>
                <w:b w:val="0"/>
                <w:i w:val="0"/>
                <w:color w:val="222222"/>
                <w:sz w:val="19"/>
              </w:rPr>
              <w:t>- Estruturas para enriquecimento ambiental (gatos: tabuleiros, superfícies de repouso, estruturas para afiar garras)</w:t>
            </w:r>
          </w:p>
          <w:p>
            <w:pPr>
              <w:spacing w:after="0" w:before="20"/>
              <w:ind w:right="80" w:left="80" w:firstLine="0"/>
            </w:pPr>
            <w:r>
              <w:rPr>
                <w:rFonts w:ascii="Calibri" w:hAnsi="Calibri"/>
                <w:b w:val="0"/>
                <w:i w:val="0"/>
                <w:color w:val="222222"/>
                <w:sz w:val="19"/>
              </w:rPr>
              <w:t>- Pavimentos (proibição de grades)</w:t>
            </w:r>
          </w:p>
          <w:p>
            <w:pPr>
              <w:spacing w:after="0" w:before="20"/>
              <w:ind w:right="80" w:left="80" w:firstLine="0"/>
            </w:pPr>
            <w:r>
              <w:rPr>
                <w:rFonts w:ascii="Calibri" w:hAnsi="Calibri"/>
                <w:b w:val="0"/>
                <w:i w:val="0"/>
                <w:color w:val="222222"/>
                <w:sz w:val="19"/>
              </w:rPr>
              <w:t>- Condições de higiene e bem-estar</w:t>
            </w:r>
          </w:p>
          <w:p>
            <w:pPr>
              <w:spacing w:after="0" w:before="140"/>
              <w:ind w:right="80" w:left="80" w:firstLine="0"/>
            </w:pPr>
            <w:r>
              <w:rPr>
                <w:rFonts w:ascii="Calibri" w:hAnsi="Calibri"/>
                <w:b w:val="0"/>
                <w:i w:val="0"/>
                <w:color w:val="222222"/>
                <w:sz w:val="19"/>
              </w:rPr>
              <w:t>Corresponde materialmente aos requisitos de espaço, temperatura e frequência referidos no Art. 22 do Regulamento.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 Referências a Anexos de Regulamentos EU</w:t>
            </w:r>
          </w:p>
          <w:p>
            <w:pPr>
              <w:spacing w:after="0" w:before="140"/>
              <w:ind w:right="80" w:left="80" w:firstLine="0"/>
            </w:pPr>
            <w:r>
              <w:rPr>
                <w:rFonts w:ascii="Calibri" w:hAnsi="Calibri"/>
                <w:b w:val="0"/>
                <w:i w:val="0"/>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pPr>
              <w:spacing w:after="0" w:before="140"/>
              <w:ind w:right="80" w:left="80" w:firstLine="0"/>
            </w:pPr>
            <w:r>
              <w:rPr>
                <w:rFonts w:ascii="Calibri" w:hAnsi="Calibri"/>
                <w:b w:val="0"/>
                <w:i w:val="0"/>
                <w:color w:val="222222"/>
                <w:sz w:val="19"/>
              </w:rPr>
              <w:t>NOTA: DL 82/2019 não implementa mecanismo de delegação de autoridade para alteração de anexos como previsto no Art. 22-24 do Regulamento EU 2023/0447.</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Anexos existem; falta delegação de autoridade para alteração dinâmica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Estrutura de anexos com parâmetros técnicos; falta delegação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 estruturado; falta mecanismo de atos delegados/execução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expedito de atos delegados.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Estrutura de anexos presente mas sem mecanismo de delegação de autoridade para atos delegados/execução conforme Reg. EU.</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