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1.8</w:t>
            </w:r>
          </w:p>
        </w:tc>
      </w:tr>
      <w:tr>
        <w:tc>
          <w:tcPr>
            <w:tcW w:w="2551" w:type="dxa"/>
          </w:tcPr>
          <w:p>
            <w:pPr>
              <w:spacing w:after="60"/>
            </w:pPr>
            <w:r/>
            <w:r>
              <w:rPr>
                <w:b/>
                <w:sz w:val="20"/>
              </w:rPr>
              <w:t>Data</w:t>
            </w:r>
          </w:p>
        </w:tc>
        <w:tc>
          <w:tcPr>
            <w:tcW w:w="6520" w:type="dxa"/>
          </w:tcPr>
          <w:p>
            <w:pPr>
              <w:spacing w:after="60"/>
            </w:pPr>
            <w:r/>
            <w:r>
              <w:rPr>
                <w:b w:val="0"/>
                <w:sz w:val="20"/>
              </w:rPr>
              <w:t>27.9.2026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40"/>
      </w:pPr>
    </w:p>
    <w:p>
      <w:pPr>
        <w:spacing w:after="40"/>
      </w:pPr>
      <w:r>
        <w:rPr>
          <w:b/>
          <w:i w:val="0"/>
        </w:rPr>
        <w:t>9. Capítulo XV. Medidas administrativas, fiscalização e contraordenações</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40"/>
      </w:pPr>
    </w:p>
    <w:p>
      <w:pPr>
        <w:spacing w:after="40"/>
      </w:pPr>
      <w:r>
        <w:rPr>
          <w:b/>
          <w:i w:val="0"/>
        </w:rPr>
        <w:t>10. Capítulo XVI. Disposições complementares, finais e transitórias</w:t>
      </w:r>
    </w:p>
    <w:p>
      <w:pPr>
        <w:spacing w:after="0"/>
        <w:ind w:left="567"/>
      </w:pPr>
      <w:r>
        <w:rPr>
          <w:b w:val="0"/>
          <w:i w:val="0"/>
        </w:rPr>
        <w:t>P-07. As portarias mantidas usam detentor no sentido antigo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P-13, P-16, P-12, P-02, P-08, P-10, P-05, P-17, P-04, P-15,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P-30, P-21, P-35, P-19, P-20, P-23, P-24, P-25, P-26, P-27, P-29, P-31, P-32, P-33, P-34, P-28, P-22.</w:t>
      </w:r>
    </w:p>
    <w:p>
      <w:r>
        <w:br w:type="page"/>
      </w:r>
    </w:p>
    <w:p>
      <w:pPr>
        <w:pStyle w:val="Heading1"/>
      </w:pPr>
      <w:r>
        <w:rPr>
          <w:i w:val="0"/>
          <w:color w:val="000000"/>
        </w:rPr>
        <w:t>3. Capítulo I. Disposições Gerais</w:t>
      </w:r>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tc>
      </w:tr>
      <w:tr>
        <w:tc>
          <w:tcPr>
            <w:tcW w:w="1984" w:type="dxa"/>
          </w:tcPr>
          <w:p>
            <w:pPr>
              <w:spacing w:after="60"/>
            </w:pPr>
            <w:r/>
            <w:r>
              <w:rPr>
                <w:b/>
                <w:sz w:val="20"/>
              </w:rPr>
              <w:t>Proposta</w:t>
            </w:r>
          </w:p>
        </w:tc>
        <w:tc>
          <w:tcPr>
            <w:tcW w:w="7087" w:type="dxa"/>
          </w:tcPr>
          <w:p>
            <w:pPr>
              <w:spacing w:after="60"/>
            </w:pPr>
            <w:r/>
            <w:r>
              <w:rPr>
                <w:b w:val="0"/>
                <w:sz w:val="20"/>
              </w:rPr>
              <w:t>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tc>
      </w:tr>
      <w:tr>
        <w:tc>
          <w:tcPr>
            <w:tcW w:w="1984" w:type="dxa"/>
          </w:tcPr>
          <w:p>
            <w:pPr>
              <w:spacing w:after="60"/>
            </w:pPr>
            <w:r/>
            <w:r>
              <w:rPr>
                <w:b/>
                <w:sz w:val="20"/>
              </w:rPr>
              <w:t>Proposta</w:t>
            </w:r>
          </w:p>
        </w:tc>
        <w:tc>
          <w:tcPr>
            <w:tcW w:w="7087" w:type="dxa"/>
          </w:tcPr>
          <w:p>
            <w:pPr>
              <w:spacing w:after="60"/>
            </w:pPr>
            <w:r/>
            <w:r>
              <w:rPr>
                <w:b w:val="0"/>
                <w:sz w:val="20"/>
              </w:rPr>
              <w:t>Articular o art. 91.º, n.º 9 com o art. 1323.º do Código Civil: permitir a guarda provisória pelo achador, com dever de comunicação e leitura do transponder num prazo curto.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65"/>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35 fichas, das quais 31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3</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13</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c>
          <w:tcPr>
            <w:tcW w:w="1701" w:type="dxa"/>
          </w:tcPr>
          <w:p>
            <w:pPr>
              <w:spacing w:after="60"/>
            </w:pPr>
            <w:r/>
            <w:r>
              <w:rPr>
                <w:b w:val="0"/>
                <w:sz w:val="20"/>
              </w:rPr>
              <w:t>29</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13</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10</w:t>
            </w:r>
          </w:p>
        </w:tc>
        <w:tc>
          <w:tcPr>
            <w:tcW w:w="1701" w:type="dxa"/>
          </w:tcPr>
          <w:p>
            <w:pPr>
              <w:spacing w:after="60"/>
            </w:pPr>
            <w:r/>
            <w:r>
              <w:rPr>
                <w:b w:val="0"/>
                <w:sz w:val="20"/>
              </w:rPr>
              <w:t>8</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6</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152</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30</w:t>
            </w:r>
          </w:p>
        </w:tc>
        <w:tc>
          <w:tcPr>
            <w:tcW w:w="1701" w:type="dxa"/>
          </w:tcPr>
          <w:p>
            <w:pPr>
              <w:spacing w:after="60"/>
            </w:pPr>
            <w:r/>
            <w:r>
              <w:rPr>
                <w:b/>
                <w:sz w:val="20"/>
              </w:rPr>
              <w:t>122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P-20, 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1 - O operador assegura que cada estabelecimento sob a sua responsabilidade é objeto de visita de um médico-veterinário destinada a identificar e avaliar os fatores de risco para o bem-estar animal e a aconselhar o operador sobre as medidas adequadas para lhes dar resposta.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L-09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(18)</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(17)</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pStyle w:val="Heading2"/>
      </w:pPr>
      <w:r>
        <w:rPr>
          <w:i w:val="0"/>
          <w:color w:val="000000"/>
        </w:rPr>
        <w:t>Identificação e registo (6)</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pStyle w:val="Heading2"/>
      </w:pPr>
      <w:r>
        <w:rPr>
          <w:i w:val="0"/>
          <w:color w:val="000000"/>
        </w:rPr>
        <w:t>Estabelecimentos e operadores (1)</w:t>
      </w:r>
    </w:p>
    <w:p>
      <w:pPr>
        <w:spacing w:after="20"/>
        <w:ind w:left="454"/>
      </w:pPr>
      <w:r>
        <w:rPr>
          <w:b w:val="0"/>
          <w:i w:val="0"/>
        </w:rPr>
        <w:t>P-12. Redação por decidir no art. 22.º (art. 22.º, cap. IV)</w:t>
      </w:r>
    </w:p>
    <w:p>
      <w:pPr>
        <w:pStyle w:val="Heading2"/>
      </w:pPr>
      <w:r>
        <w:rPr>
          <w:i w:val="0"/>
          <w:color w:val="000000"/>
        </w:rPr>
        <w:t>Fiscalização e contraordenações (2)</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pStyle w:val="Heading2"/>
      </w:pPr>
      <w:r>
        <w:rPr>
          <w:i w:val="0"/>
          <w:color w:val="000000"/>
        </w:rPr>
        <w:t>Disposições finais e revogações (1)</w:t>
      </w:r>
    </w:p>
    <w:p>
      <w:pPr>
        <w:spacing w:after="20"/>
        <w:ind w:left="454"/>
      </w:pPr>
      <w:r>
        <w:rPr>
          <w:b w:val="0"/>
          <w:i w:val="0"/>
        </w:rPr>
        <w:t>P-07. As portarias mantidas usam detentor no sentido antigo (art. 149.º, cap. XVI)</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27.9.2026.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1">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2">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23">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24">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25">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26">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27">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28">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29">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0">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1">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2">
        <w:r>
          <w:rPr>
            <w:u w:val="single"/>
          </w:rPr>
          <w:t xml:space="preserve">https://www.woah.org/fileadmin/Home/eng/Health_standards/tahc/2023/chapitre_aw_stray_dog.pdf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3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3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3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3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3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3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3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0">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4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4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4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4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4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48">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49">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0">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1">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2">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53">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54">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55">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56">
        <w:r>
          <w:rPr>
            <w:u w:val="single"/>
          </w:rPr>
          <w:t xml:space="preserve">https://www.dgsi.pt/jtrl.nsf/33182fc732316039802565fa00497eec/7462ba7a0546bac680258c8b0049a31e?OpenDocument</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57">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58">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59">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0">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1">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62">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63">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64">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1.8.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anmp.pt/file-viewer/?pstid=41508" TargetMode="External"/><Relationship Id="rId22"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23"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24" Type="http://schemas.openxmlformats.org/officeDocument/2006/relationships/hyperlink" Target="https://www.icnf.pt/api/file/doc/41f8f44aee23be1a" TargetMode="External"/><Relationship Id="rId25" Type="http://schemas.openxmlformats.org/officeDocument/2006/relationships/hyperlink" Target="https://www.dgav.pt/wp-content/uploads/2021/08/Relatorio-FINAL-avaliacao-da-implementacao-da-Lei-27-2016.pdf" TargetMode="External"/><Relationship Id="rId26" Type="http://schemas.openxmlformats.org/officeDocument/2006/relationships/hyperlink" Target="https://www.provedor-jus.pt/documentos/082A_96.pdf" TargetMode="External"/><Relationship Id="rId27" Type="http://schemas.openxmlformats.org/officeDocument/2006/relationships/hyperlink" Target="https://www.provedor-jus.pt/documentos/canideos-captura-alojamento-e-abate/" TargetMode="External"/><Relationship Id="rId28" Type="http://schemas.openxmlformats.org/officeDocument/2006/relationships/hyperlink" Target="https://www.provedor-jus.pt/documentos/ambiente-salubridade-habitacao-acumulacao-de-residuos-saude-mental-sindrome-de-diogenes-004-a-2013/" TargetMode="External"/><Relationship Id="rId29" Type="http://schemas.openxmlformats.org/officeDocument/2006/relationships/hyperlink" Target="https://www.provedor-jus.pt/documentos/Relat2020%20_Relatorio.pdf" TargetMode="External"/><Relationship Id="rId30" Type="http://schemas.openxmlformats.org/officeDocument/2006/relationships/hyperlink" Target="https://www.provedor-jus.pt/documentos/Relatorio%202023.pdf" TargetMode="External"/><Relationship Id="rId31" Type="http://schemas.openxmlformats.org/officeDocument/2006/relationships/hyperlink" Target="https://food.ec.europa.eu/document/download/caf8cd1d-967a-4e60-a0e5-19401be1c6b3_en?filename=aw_awp_leg_dog-cat_swd-2024-88.pdf" TargetMode="External"/><Relationship Id="rId32" Type="http://schemas.openxmlformats.org/officeDocument/2006/relationships/hyperlink" Target="https://www.woah.org/fileadmin/Home/eng/Health_standards/tahc/2023/chapitre_aw_stray_dog.pdf" TargetMode="External"/><Relationship Id="rId33" Type="http://schemas.openxmlformats.org/officeDocument/2006/relationships/hyperlink" Target="https://www.omv.pt/dmdocuments/vi_formacao_omv/abandono_animais_camv_ultimoparecer_nov2015.pdf" TargetMode="External"/><Relationship Id="rId3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35" Type="http://schemas.openxmlformats.org/officeDocument/2006/relationships/hyperlink" Target="https://apmveac.pt/wp-content/uploads/2021/04/Legislacao.Animais.Companhia_09-04-2021-amarelo-final-.pdf" TargetMode="External"/><Relationship Id="rId36" Type="http://schemas.openxmlformats.org/officeDocument/2006/relationships/hyperlink" Target="https://apmveac.pt/wp-content/uploads/2023/09/Parecer-APMVEAC-Consulta-Publica-ENAE.pdf" TargetMode="External"/><Relationship Id="rId37" Type="http://schemas.openxmlformats.org/officeDocument/2006/relationships/hyperlink" Target="https://www.arpa-associacao.pt/media/attachments/2022/12/14/parecer-arpa-versAo-4-final.pdf" TargetMode="External"/><Relationship Id="rId38" Type="http://schemas.openxmlformats.org/officeDocument/2006/relationships/hyperlink" Target="https://www.spea.pt/wp-content/uploads/2020/09/ParecerSPEA_Planos-Gestao-Parques-Naturais-Ilha-2020.pdf" TargetMode="External"/><Relationship Id="rId39" Type="http://schemas.openxmlformats.org/officeDocument/2006/relationships/hyperlink" Target="https://spea.pt/um-gato-feliz-e-alimentado-mantem-o-passarinho-afastado/" TargetMode="External"/><Relationship Id="rId40" Type="http://schemas.openxmlformats.org/officeDocument/2006/relationships/hyperlink" Target="https://matilhascoimbra.pt/pages/projecto-2" TargetMode="External"/><Relationship Id="rId41" Type="http://schemas.openxmlformats.org/officeDocument/2006/relationships/hyperlink" Target="https://www.pan.com.pt/pan-destaca-vitorias-no-bem-estar-animal-mas-denuncia-retrocesso-grave-no-orcamento-do-estado-para-2026/" TargetMode="External"/><Relationship Id="rId42" Type="http://schemas.openxmlformats.org/officeDocument/2006/relationships/hyperlink" Target="https://www.pcp.pt/solucao-prevencao-pela-esterilizacao-rede-publica-de-veterinarios-nao-abate-de-animais-abandonados" TargetMode="External"/><Relationship Id="rId43" Type="http://schemas.openxmlformats.org/officeDocument/2006/relationships/hyperlink" Target="https://www.pcp.pt/campanha-nacional-de-esterilizacao-de-animais-errantes-0" TargetMode="External"/><Relationship Id="rId44" Type="http://schemas.openxmlformats.org/officeDocument/2006/relationships/hyperlink" Target="https://programa.partidolivre.pt/propostas/N.13/" TargetMode="External"/><Relationship Id="rId45" Type="http://schemas.openxmlformats.org/officeDocument/2006/relationships/hyperlink" Target="https://maratonapelosanimais.pt/wp-content/uploads/2024/03/respostas-completas.pdf" TargetMode="External"/><Relationship Id="rId46" Type="http://schemas.openxmlformats.org/officeDocument/2006/relationships/hyperlink" Target="https://www.cidp.pt/revistas/rjlb/2019/2/2019_02_0077_0095.pdf" TargetMode="External"/><Relationship Id="rId47" Type="http://schemas.openxmlformats.org/officeDocument/2006/relationships/hyperlink" Target="https://www.cidp.pt/revistas/rjlb/2019/2/2019_02_0305_0348.pdf" TargetMode="External"/><Relationship Id="rId48" Type="http://schemas.openxmlformats.org/officeDocument/2006/relationships/hyperlink" Target="https://cej.justica.gov.pt/LinkClick.aspx?fileticket=VpuQj7jZ-us%3D&amp;portalid=30" TargetMode="External"/><Relationship Id="rId49" Type="http://schemas.openxmlformats.org/officeDocument/2006/relationships/hyperlink" Target="https://jurisprudencia.pt/acordao/76412/" TargetMode="External"/><Relationship Id="rId50" Type="http://schemas.openxmlformats.org/officeDocument/2006/relationships/hyperlink" Target="https://trc.pt/responsabilidade-civil-danos-causados-por-animais-dever-de-vigilancia/" TargetMode="External"/><Relationship Id="rId51" Type="http://schemas.openxmlformats.org/officeDocument/2006/relationships/hyperlink" Target="https://jurisprudencia.pt/acordao/128487/" TargetMode="External"/><Relationship Id="rId52" Type="http://schemas.openxmlformats.org/officeDocument/2006/relationships/hyperlink" Target="https://www.tribunalconstitucional.pt/tc/acordaos/20210867.html" TargetMode="External"/><Relationship Id="rId53" Type="http://schemas.openxmlformats.org/officeDocument/2006/relationships/hyperlink" Target="https://www.tribunalconstitucional.pt/tc/acordaos/20240070.html" TargetMode="External"/><Relationship Id="rId54" Type="http://schemas.openxmlformats.org/officeDocument/2006/relationships/hyperlink" Target="https://jurisprudencia.pt/acordao/221373/" TargetMode="External"/><Relationship Id="rId55" Type="http://schemas.openxmlformats.org/officeDocument/2006/relationships/hyperlink" Target="https://www.tribunalconstitucional.pt/tc/acordaos/20240478.html" TargetMode="External"/><Relationship Id="rId56" Type="http://schemas.openxmlformats.org/officeDocument/2006/relationships/hyperlink" Target="https://www.dgsi.pt/jtrl.nsf/33182fc732316039802565fa00497eec/7462ba7a0546bac680258c8b0049a31e?OpenDocument" TargetMode="External"/><Relationship Id="rId57" Type="http://schemas.openxmlformats.org/officeDocument/2006/relationships/hyperlink" Target="https://www.nature.com/articles/ncomms2380" TargetMode="External"/><Relationship Id="rId58" Type="http://schemas.openxmlformats.org/officeDocument/2006/relationships/hyperlink" Target="https://doi.org/10.2460/javma.2005.227.1775" TargetMode="External"/><Relationship Id="rId59" Type="http://schemas.openxmlformats.org/officeDocument/2006/relationships/hyperlink" Target="https://www.frontiersin.org/journals/veterinary-science/articles/10.3389/fvets.2019.00238/full" TargetMode="External"/><Relationship Id="rId60" Type="http://schemas.openxmlformats.org/officeDocument/2006/relationships/hyperlink" Target="https://www.frontiersin.org/journals/veterinary-science/articles/10.3389/fvets.2019.00077/full" TargetMode="External"/><Relationship Id="rId61" Type="http://schemas.openxmlformats.org/officeDocument/2006/relationships/hyperlink" Target="https://doi.org/10.1093/jel/eqz035" TargetMode="External"/><Relationship Id="rId62" Type="http://schemas.openxmlformats.org/officeDocument/2006/relationships/hyperlink" Target="https://pmc.ncbi.nlm.nih.gov/articles/PMC9169806/" TargetMode="External"/><Relationship Id="rId63" Type="http://schemas.openxmlformats.org/officeDocument/2006/relationships/hyperlink" Target="https://pmc.ncbi.nlm.nih.gov/articles/PMC11939513/" TargetMode="External"/><Relationship Id="rId64" Type="http://schemas.openxmlformats.org/officeDocument/2006/relationships/hyperlink" Target="https://dspace.uevora.pt/rdpc/bitstream/10174/38522/1/Gal%C3%A3o%20et%20al_2025_When%20pets%20go%20wild.pdf" TargetMode="External"/><Relationship Id="rId6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