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1.38</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P-53. Associação titular de cão perigoso: falta a regra da licença e a adoção fica entre duas normas contrárias (art. 110.º)</w:t>
      </w:r>
    </w:p>
    <w:p>
      <w:pPr>
        <w:spacing w:after="0"/>
        <w:ind w:left="567"/>
      </w:pPr>
      <w:r>
        <w:rPr>
          <w:b w:val="0"/>
          <w:i w:val="0"/>
        </w:rPr>
        <w:t>P-49. Duas vias para retirar a classificação de perigoso, sem ligação entre elas (art. 120.º)</w:t>
      </w:r>
    </w:p>
    <w:p>
      <w:pPr>
        <w:spacing w:after="0"/>
        <w:ind w:left="567"/>
      </w:pPr>
      <w:r>
        <w:rPr>
          <w:b w:val="0"/>
          <w:i w:val="0"/>
        </w:rPr>
        <w:t>P-57. Nada diz quem decide se um cão é cruzamento de raça potencialmente perigosa, com que critério, nem como se contesta (art. 120.º)</w:t>
      </w:r>
    </w:p>
    <w:p>
      <w:pPr>
        <w:spacing w:after="0"/>
        <w:ind w:left="567"/>
      </w:pPr>
      <w:r>
        <w:rPr>
          <w:b w:val="0"/>
          <w:i w:val="0"/>
        </w:rPr>
        <w:t>P-55. Na cedência de cão perigoso, o cedente não informa nem entrega nada, e o novo detentor fica com o atraso (art. 127.º)</w:t>
      </w:r>
    </w:p>
    <w:p>
      <w:pPr>
        <w:spacing w:after="0"/>
        <w:ind w:left="567"/>
      </w:pPr>
      <w:r>
        <w:rPr>
          <w:b w:val="0"/>
          <w:i w:val="0"/>
        </w:rPr>
        <w:t>P-54. O treino começa entre os 6 e os 12 meses, o que não serve o cão classificado como perigoso já adulto (art. 128.º)</w:t>
      </w:r>
    </w:p>
    <w:p>
      <w:pPr>
        <w:spacing w:after="0"/>
        <w:ind w:left="567"/>
      </w:pPr>
      <w:r>
        <w:rPr>
          <w:b w:val="0"/>
          <w:i w:val="0"/>
        </w:rPr>
        <w:t>P-56. O registo do treino no SIAC fica sem perfil de acesso, sem coima e sem regime transitório (art. 135.º)</w:t>
      </w:r>
    </w:p>
    <w:p>
      <w:pPr>
        <w:spacing w:after="40"/>
      </w:pPr>
    </w:p>
    <w:p>
      <w:pPr>
        <w:spacing w:after="40"/>
      </w:pPr>
      <w:r>
        <w:rPr>
          <w:b/>
          <w:i w:val="0"/>
        </w:rPr>
        <w:t>10. Capítulo XV. Medidas administrativas, fiscalização e contraordenações</w:t>
      </w:r>
    </w:p>
    <w:p>
      <w:pPr>
        <w:spacing w:after="0"/>
        <w:ind w:left="567"/>
      </w:pPr>
      <w:r>
        <w:rPr>
          <w:b w:val="0"/>
          <w:i w:val="0"/>
        </w:rPr>
        <w:t>P-52. O dever geral de colaboração de terceiros e a coima por recusa de informações não passam para o RGAC (art. 138.º)</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P-53, P-55,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P-53.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P-08, P-49</w:t>
            </w:r>
          </w:p>
        </w:tc>
      </w:tr>
    </w:tbl>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P-57.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w:t>
            </w:r>
          </w:p>
          <w:p>
            <w:pPr>
              <w:spacing w:after="60"/>
            </w:pPr>
            <w:r>
              <w:rPr>
                <w:b w:val="0"/>
                <w:sz w:val="20"/>
              </w:rPr>
              <w:t>art. 79.º, n.º 7</w:t>
            </w:r>
          </w:p>
          <w:p>
            <w:pPr>
              <w:spacing w:after="60"/>
            </w:pPr>
            <w:r>
              <w:rPr>
                <w:b w:val="0"/>
                <w:sz w:val="20"/>
              </w:rPr>
              <w:t>art. 126.º, n.º 3</w:t>
            </w:r>
          </w:p>
          <w:p>
            <w:pPr>
              <w:spacing w:after="60"/>
            </w:pPr>
            <w:r>
              <w:rPr>
                <w:b w:val="0"/>
                <w:sz w:val="20"/>
              </w:rPr>
              <w:t>art. 120.º, n.º 5</w:t>
            </w:r>
          </w:p>
          <w:p>
            <w:pPr>
              <w:spacing w:after="60"/>
            </w:pPr>
            <w:r>
              <w:rPr>
                <w:b w:val="0"/>
                <w:sz w:val="20"/>
              </w:rPr>
              <w:t>DL 315/2009, art. 3.º, al. c), e art. 19.º, n.º 3</w:t>
            </w:r>
          </w:p>
          <w:p>
            <w:pPr>
              <w:spacing w:after="60"/>
            </w:pPr>
            <w:r>
              <w:rPr>
                <w:b w:val="0"/>
                <w:sz w:val="20"/>
              </w:rPr>
              <w:t>Portaria 422/2004, anexo</w:t>
            </w:r>
          </w:p>
          <w:p>
            <w:pPr>
              <w:spacing w:after="60"/>
            </w:pPr>
            <w:r>
              <w:rPr>
                <w:b w:val="0"/>
                <w:sz w:val="20"/>
              </w:rPr>
              <w:t>DL 276/2001, art. 53.º, n.º 3</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P-49</w:t>
            </w:r>
          </w:p>
        </w:tc>
      </w:tr>
    </w:tbl>
    <w:p/>
    <w:p>
      <w:pPr>
        <w:pStyle w:val="Heading2"/>
      </w:pPr>
      <w:r>
        <w:rPr>
          <w:i w:val="0"/>
          <w:color w:val="000000"/>
        </w:rPr>
        <w:t>P-55.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w:t>
            </w:r>
          </w:p>
          <w:p>
            <w:pPr>
              <w:spacing w:after="60"/>
            </w:pPr>
            <w:r>
              <w:rPr>
                <w:b w:val="0"/>
                <w:sz w:val="20"/>
              </w:rPr>
              <w:t>art. 73.º, n.ºs 2 e 5</w:t>
            </w:r>
          </w:p>
          <w:p>
            <w:pPr>
              <w:spacing w:after="60"/>
            </w:pPr>
            <w:r>
              <w:rPr>
                <w:b w:val="0"/>
                <w:sz w:val="20"/>
              </w:rPr>
              <w:t>art. 110.º, n.º 2</w:t>
            </w:r>
          </w:p>
          <w:p>
            <w:pPr>
              <w:spacing w:after="60"/>
            </w:pPr>
            <w:r>
              <w:rPr>
                <w:b w:val="0"/>
                <w:sz w:val="20"/>
              </w:rPr>
              <w:t>DL 315/2009, art. 20.º, n.º 2, al. c)</w:t>
            </w:r>
          </w:p>
          <w:p>
            <w:pPr>
              <w:spacing w:after="60"/>
            </w:pPr>
            <w:r>
              <w:rPr>
                <w:b w:val="0"/>
                <w:sz w:val="20"/>
              </w:rPr>
              <w:t>DL 82/2019, art. 13.º, n.ºs 2 a 4</w:t>
            </w:r>
          </w:p>
          <w:p>
            <w:pPr>
              <w:spacing w:after="60"/>
            </w:pPr>
            <w:r>
              <w:rPr>
                <w:b w:val="0"/>
                <w:sz w:val="20"/>
              </w:rPr>
              <w:t>DL 9/2021, art. 5.º e art. 36.º</w:t>
            </w:r>
          </w:p>
          <w:p>
            <w:pPr>
              <w:spacing w:after="60"/>
            </w:pPr>
            <w:r>
              <w:rPr>
                <w:b w:val="0"/>
                <w:sz w:val="20"/>
              </w:rPr>
              <w:t>Artigo principal: art. 127.º, Colocação no mercado de animais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 P-54</w:t>
            </w:r>
          </w:p>
        </w:tc>
      </w:tr>
    </w:tbl>
    <w:p/>
    <w:p>
      <w:pPr>
        <w:pStyle w:val="Heading2"/>
      </w:pPr>
      <w:r>
        <w:rPr>
          <w:i w:val="0"/>
          <w:color w:val="000000"/>
        </w:rPr>
        <w:t>P-54.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w:t>
            </w:r>
          </w:p>
          <w:p>
            <w:pPr>
              <w:spacing w:after="60"/>
            </w:pPr>
            <w:r>
              <w:rPr>
                <w:b w:val="0"/>
                <w:sz w:val="20"/>
              </w:rPr>
              <w:t>art. 122.º, n.ºs 3 a 5</w:t>
            </w:r>
          </w:p>
          <w:p>
            <w:pPr>
              <w:spacing w:after="60"/>
            </w:pPr>
            <w:r>
              <w:rPr>
                <w:b w:val="0"/>
                <w:sz w:val="20"/>
              </w:rPr>
              <w:t>art. 126.º, n.º 6</w:t>
            </w:r>
          </w:p>
          <w:p>
            <w:pPr>
              <w:spacing w:after="60"/>
            </w:pPr>
            <w:r>
              <w:rPr>
                <w:b w:val="0"/>
                <w:sz w:val="20"/>
              </w:rPr>
              <w:t>art. 135.º, n.º 2</w:t>
            </w:r>
          </w:p>
          <w:p>
            <w:pPr>
              <w:spacing w:after="60"/>
            </w:pPr>
            <w:r>
              <w:rPr>
                <w:b w:val="0"/>
                <w:sz w:val="20"/>
              </w:rPr>
              <w:t>DL 315/2009, art. 15.º, n.ºs 3 e 4, art. 21.º, art. 28.º, n.º 2, e art. 38.º, n.º 1, al. m)</w:t>
            </w:r>
          </w:p>
          <w:p>
            <w:pPr>
              <w:spacing w:after="60"/>
            </w:pPr>
            <w:r>
              <w:rPr>
                <w:b w:val="0"/>
                <w:sz w:val="20"/>
              </w:rPr>
              <w:t>Artigo principal: art. 128.º, Obrigatoriedade de treino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P-53</w:t>
            </w:r>
          </w:p>
        </w:tc>
      </w:tr>
    </w:tbl>
    <w:p/>
    <w:p>
      <w:pPr>
        <w:pStyle w:val="Heading2"/>
      </w:pPr>
      <w:r>
        <w:rPr>
          <w:i w:val="0"/>
          <w:color w:val="000000"/>
        </w:rPr>
        <w:t>P-56.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w:t>
            </w:r>
          </w:p>
          <w:p>
            <w:pPr>
              <w:spacing w:after="60"/>
            </w:pPr>
            <w:r>
              <w:rPr>
                <w:b w:val="0"/>
                <w:sz w:val="20"/>
              </w:rPr>
              <w:t>art. 122.º, n.º 4</w:t>
            </w:r>
          </w:p>
          <w:p>
            <w:pPr>
              <w:spacing w:after="60"/>
            </w:pPr>
            <w:r>
              <w:rPr>
                <w:b w:val="0"/>
                <w:sz w:val="20"/>
              </w:rPr>
              <w:t>art. 140.º</w:t>
            </w:r>
          </w:p>
          <w:p>
            <w:pPr>
              <w:spacing w:after="60"/>
            </w:pPr>
            <w:r>
              <w:rPr>
                <w:b w:val="0"/>
                <w:sz w:val="20"/>
              </w:rPr>
              <w:t>art. 73.º, n.º 1</w:t>
            </w:r>
          </w:p>
          <w:p>
            <w:pPr>
              <w:spacing w:after="60"/>
            </w:pPr>
            <w:r>
              <w:rPr>
                <w:b w:val="0"/>
                <w:sz w:val="20"/>
              </w:rPr>
              <w:t>DL 315/2009, art. 28.º, n.ºs 1 e 2, e art. 38.º, n.º 1, als. m) e p)</w:t>
            </w:r>
          </w:p>
          <w:p>
            <w:pPr>
              <w:spacing w:after="60"/>
            </w:pPr>
            <w:r>
              <w:rPr>
                <w:b w:val="0"/>
                <w:sz w:val="20"/>
              </w:rPr>
              <w:t>Artigo principal: art. 135.º, Obrigações dos treinadores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P-54, P-55</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P-52.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P-42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P-42).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w:t>
            </w:r>
          </w:p>
        </w:tc>
      </w:tr>
    </w:tbl>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P-53</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P-57</w:t>
            </w:r>
          </w:p>
        </w:tc>
        <w:tc>
          <w:tcPr>
            <w:tcW w:w="4309" w:type="dxa"/>
          </w:tcPr>
          <w:p>
            <w:pPr>
              <w:spacing w:after="60"/>
            </w:pPr>
            <w:r/>
            <w:r>
              <w:rPr>
                <w:b w:val="0"/>
                <w:sz w:val="20"/>
              </w:rPr>
              <w:t>Nada diz quem decide se um cão é cruzamento de raça potencialmente perigosa, com que critério, nem como se contesta</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P-55</w:t>
            </w:r>
          </w:p>
        </w:tc>
        <w:tc>
          <w:tcPr>
            <w:tcW w:w="4309" w:type="dxa"/>
          </w:tcPr>
          <w:p>
            <w:pPr>
              <w:spacing w:after="60"/>
            </w:pPr>
            <w:r/>
            <w:r>
              <w:rPr>
                <w:b w:val="0"/>
                <w:sz w:val="20"/>
              </w:rPr>
              <w:t>Na cedência de cão perigoso, o cedente não informa nem entrega nada, e o novo detentor fica com o atraso</w:t>
            </w:r>
          </w:p>
        </w:tc>
        <w:tc>
          <w:tcPr>
            <w:tcW w:w="3628" w:type="dxa"/>
          </w:tcPr>
          <w:p>
            <w:pPr>
              <w:spacing w:after="60"/>
            </w:pPr>
            <w:r/>
            <w:r>
              <w:rPr>
                <w:b w:val="0"/>
                <w:sz w:val="20"/>
              </w:rPr>
              <w:t>art. 127.º, Colocação no mercado de animais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P-54</w:t>
            </w:r>
          </w:p>
        </w:tc>
        <w:tc>
          <w:tcPr>
            <w:tcW w:w="4309" w:type="dxa"/>
          </w:tcPr>
          <w:p>
            <w:pPr>
              <w:spacing w:after="60"/>
            </w:pPr>
            <w:r/>
            <w:r>
              <w:rPr>
                <w:b w:val="0"/>
                <w:sz w:val="20"/>
              </w:rPr>
              <w:t>O treino começa entre os 6 e os 12 meses, o que não serve o cão classificado como perigoso já adulto</w:t>
            </w:r>
          </w:p>
        </w:tc>
        <w:tc>
          <w:tcPr>
            <w:tcW w:w="3628" w:type="dxa"/>
          </w:tcPr>
          <w:p>
            <w:pPr>
              <w:spacing w:after="60"/>
            </w:pPr>
            <w:r/>
            <w:r>
              <w:rPr>
                <w:b w:val="0"/>
                <w:sz w:val="20"/>
              </w:rPr>
              <w:t>art. 128.º, Obrigatoriedade de treino</w:t>
            </w:r>
          </w:p>
        </w:tc>
        <w:tc>
          <w:tcPr>
            <w:tcW w:w="2381" w:type="dxa"/>
          </w:tcPr>
          <w:p>
            <w:pPr>
              <w:spacing w:after="60"/>
            </w:pPr>
            <w:r/>
            <w:r>
              <w:rPr>
                <w:b w:val="0"/>
                <w:sz w:val="20"/>
              </w:rPr>
              <w:t>Animais perigosos; Bem-estar e deveres de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P-56</w:t>
            </w:r>
          </w:p>
        </w:tc>
        <w:tc>
          <w:tcPr>
            <w:tcW w:w="4309" w:type="dxa"/>
          </w:tcPr>
          <w:p>
            <w:pPr>
              <w:spacing w:after="60"/>
            </w:pPr>
            <w:r/>
            <w:r>
              <w:rPr>
                <w:b w:val="0"/>
                <w:sz w:val="20"/>
              </w:rPr>
              <w:t>O registo do treino no SIAC fica sem perfil de acesso, sem coima e sem regime transitório</w:t>
            </w:r>
          </w:p>
        </w:tc>
        <w:tc>
          <w:tcPr>
            <w:tcW w:w="3628" w:type="dxa"/>
          </w:tcPr>
          <w:p>
            <w:pPr>
              <w:spacing w:after="60"/>
            </w:pPr>
            <w:r/>
            <w:r>
              <w:rPr>
                <w:b w:val="0"/>
                <w:sz w:val="20"/>
              </w:rPr>
              <w:t>art. 135.º, Obrigações dos treinadores</w:t>
            </w:r>
          </w:p>
        </w:tc>
        <w:tc>
          <w:tcPr>
            <w:tcW w:w="2381" w:type="dxa"/>
          </w:tcPr>
          <w:p>
            <w:pPr>
              <w:spacing w:after="60"/>
            </w:pPr>
            <w:r/>
            <w:r>
              <w:rPr>
                <w:b w:val="0"/>
                <w:sz w:val="20"/>
              </w:rPr>
              <w:t>Animais perigosos; Identificação e registo; Fiscalização e contraordenações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P-52</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57 fichas, das quais 53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16</w:t>
            </w:r>
          </w:p>
        </w:tc>
        <w:tc>
          <w:tcPr>
            <w:tcW w:w="1701" w:type="dxa"/>
          </w:tcPr>
          <w:p>
            <w:pPr>
              <w:spacing w:after="60"/>
            </w:pPr>
            <w:r/>
            <w:r>
              <w:rPr>
                <w:b w:val="0"/>
                <w:sz w:val="20"/>
              </w:rPr>
              <w:t>11</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 P-53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P-55, P-56,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P-53,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P-53, P-55,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P-57,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 P-54, P-57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P-53, P-55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P-54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P-54, P-56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P-52,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 P-52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P-52, P-56,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(23)</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(15)</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(6)</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(10)</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P-56. O registo do treino no SIAC fica sem perfil de acesso, sem coima e sem regime transitório (art. 135.º, cap. XIV)</w:t>
      </w:r>
    </w:p>
    <w:p>
      <w:pPr>
        <w:spacing w:after="20"/>
        <w:ind w:left="454"/>
      </w:pPr>
      <w:r>
        <w:rPr>
          <w:b w:val="0"/>
          <w:i w:val="0"/>
        </w:rPr>
        <w:t>P-52. O dever geral de colaboração de terceiros e a coima por recusa de informações não passam para o RGAC (art. 138.º, cap. XV)</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(6)</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(6)</w:t>
      </w:r>
    </w:p>
    <w:p>
      <w:pPr>
        <w:spacing w:after="20"/>
        <w:ind w:left="454"/>
      </w:pPr>
      <w:r>
        <w:rPr>
          <w:b w:val="0"/>
          <w:i w:val="0"/>
        </w:rPr>
        <w:t>P-53. Associação titular de cão perigoso: falta a regra da licença e a adoção fica entre duas normas contrárias (art. 110.º, cap. XIV)</w:t>
      </w:r>
    </w:p>
    <w:p>
      <w:pPr>
        <w:spacing w:after="20"/>
        <w:ind w:left="454"/>
      </w:pPr>
      <w:r>
        <w:rPr>
          <w:b w:val="0"/>
          <w:i w:val="0"/>
        </w:rPr>
        <w:t>P-49. Duas vias para retirar a classificação de perigoso, sem ligação entre elas (art. 120.º, cap. XIV)</w:t>
      </w:r>
    </w:p>
    <w:p>
      <w:pPr>
        <w:spacing w:after="20"/>
        <w:ind w:left="454"/>
      </w:pPr>
      <w:r>
        <w:rPr>
          <w:b w:val="0"/>
          <w:i w:val="0"/>
        </w:rPr>
        <w:t>P-57. Nada diz quem decide se um cão é cruzamento de raça potencialmente perigosa, com que critério, nem como se contesta (art. 120.º, cap. XIV)</w:t>
      </w:r>
    </w:p>
    <w:p>
      <w:pPr>
        <w:spacing w:after="20"/>
        <w:ind w:left="454"/>
      </w:pPr>
      <w:r>
        <w:rPr>
          <w:b w:val="0"/>
          <w:i w:val="0"/>
        </w:rPr>
        <w:t>P-55. Na cedência de cão perigoso, o cedente não informa nem entrega nada, e o novo detentor fica com o atraso (art. 127.º, cap. XIV)</w:t>
      </w:r>
    </w:p>
    <w:p>
      <w:pPr>
        <w:spacing w:after="20"/>
        <w:ind w:left="454"/>
      </w:pPr>
      <w:r>
        <w:rPr>
          <w:b w:val="0"/>
          <w:i w:val="0"/>
        </w:rPr>
        <w:t>P-54. O treino começa entre os 6 e os 12 meses, o que não serve o cão classificado como perigoso já adulto (art. 128.º, cap. XIV)</w:t>
      </w:r>
    </w:p>
    <w:p>
      <w:pPr>
        <w:spacing w:after="20"/>
        <w:ind w:left="454"/>
      </w:pPr>
      <w:r>
        <w:rPr>
          <w:b w:val="0"/>
          <w:i w:val="0"/>
        </w:rPr>
        <w:t>P-56. O registo do treino no SIAC fica sem perfil de acesso, sem coima e sem regime transitório (art. 135.º,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D-02</w:t>
            </w:r>
          </w:p>
        </w:tc>
        <w:tc>
          <w:tcPr>
            <w:tcW w:w="1417" w:type="dxa"/>
          </w:tcPr>
          <w:p>
            <w:pPr>
              <w:spacing w:after="60"/>
            </w:pPr>
            <w:r/>
            <w:r>
              <w:rPr>
                <w:b w:val="0"/>
                <w:sz w:val="20"/>
              </w:rPr>
              <w:t>P-53</w:t>
            </w:r>
          </w:p>
        </w:tc>
        <w:tc>
          <w:tcPr>
            <w:tcW w:w="6236" w:type="dxa"/>
          </w:tcPr>
          <w:p>
            <w:pPr>
              <w:spacing w:after="60"/>
            </w:pPr>
            <w:r/>
            <w:r>
              <w:rPr>
                <w:b w:val="0"/>
                <w:sz w:val="20"/>
              </w:rPr>
              <w:t>Associação titular de cão perigoso: falta a regra da licença e a adoção fica entre duas normas contrárias</w:t>
            </w:r>
          </w:p>
        </w:tc>
      </w:tr>
      <w:tr>
        <w:tc>
          <w:tcPr>
            <w:tcW w:w="1417" w:type="dxa"/>
          </w:tcPr>
          <w:p>
            <w:pPr>
              <w:spacing w:after="60"/>
            </w:pPr>
            <w:r/>
            <w:r>
              <w:rPr>
                <w:b w:val="0"/>
                <w:sz w:val="20"/>
              </w:rPr>
              <w:t>D-03</w:t>
            </w:r>
          </w:p>
        </w:tc>
        <w:tc>
          <w:tcPr>
            <w:tcW w:w="1417" w:type="dxa"/>
          </w:tcPr>
          <w:p>
            <w:pPr>
              <w:spacing w:after="60"/>
            </w:pPr>
            <w:r/>
            <w:r>
              <w:rPr>
                <w:b w:val="0"/>
                <w:sz w:val="20"/>
              </w:rPr>
              <w:t>P-54</w:t>
            </w:r>
          </w:p>
        </w:tc>
        <w:tc>
          <w:tcPr>
            <w:tcW w:w="6236" w:type="dxa"/>
          </w:tcPr>
          <w:p>
            <w:pPr>
              <w:spacing w:after="60"/>
            </w:pPr>
            <w:r/>
            <w:r>
              <w:rPr>
                <w:b w:val="0"/>
                <w:sz w:val="20"/>
              </w:rPr>
              <w:t>O treino começa entre os 6 e os 12 meses, o que não serve o cão classificado como perigoso já adulto</w:t>
            </w:r>
          </w:p>
        </w:tc>
      </w:tr>
      <w:tr>
        <w:tc>
          <w:tcPr>
            <w:tcW w:w="1417" w:type="dxa"/>
          </w:tcPr>
          <w:p>
            <w:pPr>
              <w:spacing w:after="60"/>
            </w:pPr>
            <w:r/>
            <w:r>
              <w:rPr>
                <w:b w:val="0"/>
                <w:sz w:val="20"/>
              </w:rPr>
              <w:t>D-04</w:t>
            </w:r>
          </w:p>
        </w:tc>
        <w:tc>
          <w:tcPr>
            <w:tcW w:w="1417" w:type="dxa"/>
          </w:tcPr>
          <w:p>
            <w:pPr>
              <w:spacing w:after="60"/>
            </w:pPr>
            <w:r/>
            <w:r>
              <w:rPr>
                <w:b w:val="0"/>
                <w:sz w:val="20"/>
              </w:rPr>
              <w:t>P-55</w:t>
            </w:r>
          </w:p>
        </w:tc>
        <w:tc>
          <w:tcPr>
            <w:tcW w:w="6236" w:type="dxa"/>
          </w:tcPr>
          <w:p>
            <w:pPr>
              <w:spacing w:after="60"/>
            </w:pPr>
            <w:r/>
            <w:r>
              <w:rPr>
                <w:b w:val="0"/>
                <w:sz w:val="20"/>
              </w:rPr>
              <w:t>Na cedência de cão perigoso, o cedente não informa nem entrega nada, e o novo detentor fica com o atraso</w:t>
            </w:r>
          </w:p>
        </w:tc>
      </w:tr>
      <w:tr>
        <w:tc>
          <w:tcPr>
            <w:tcW w:w="1417" w:type="dxa"/>
          </w:tcPr>
          <w:p>
            <w:pPr>
              <w:spacing w:after="60"/>
            </w:pPr>
            <w:r/>
            <w:r>
              <w:rPr>
                <w:b w:val="0"/>
                <w:sz w:val="20"/>
              </w:rPr>
              <w:t>D-05</w:t>
            </w:r>
          </w:p>
        </w:tc>
        <w:tc>
          <w:tcPr>
            <w:tcW w:w="1417" w:type="dxa"/>
          </w:tcPr>
          <w:p>
            <w:pPr>
              <w:spacing w:after="60"/>
            </w:pPr>
            <w:r/>
            <w:r>
              <w:rPr>
                <w:b w:val="0"/>
                <w:sz w:val="20"/>
              </w:rPr>
              <w:t>P-56</w:t>
            </w:r>
          </w:p>
        </w:tc>
        <w:tc>
          <w:tcPr>
            <w:tcW w:w="6236" w:type="dxa"/>
          </w:tcPr>
          <w:p>
            <w:pPr>
              <w:spacing w:after="60"/>
            </w:pPr>
            <w:r/>
            <w:r>
              <w:rPr>
                <w:b w:val="0"/>
                <w:sz w:val="20"/>
              </w:rPr>
              <w:t>O registo do treino no SIAC fica sem perfil de acesso, sem coima e sem regime transitório</w:t>
            </w:r>
          </w:p>
        </w:tc>
      </w:tr>
      <w:tr>
        <w:tc>
          <w:tcPr>
            <w:tcW w:w="1417" w:type="dxa"/>
          </w:tcPr>
          <w:p>
            <w:pPr>
              <w:spacing w:after="60"/>
            </w:pPr>
            <w:r/>
            <w:r>
              <w:rPr>
                <w:b w:val="0"/>
                <w:sz w:val="20"/>
              </w:rPr>
              <w:t>D-06</w:t>
            </w:r>
          </w:p>
        </w:tc>
        <w:tc>
          <w:tcPr>
            <w:tcW w:w="1417" w:type="dxa"/>
          </w:tcPr>
          <w:p>
            <w:pPr>
              <w:spacing w:after="60"/>
            </w:pPr>
            <w:r/>
            <w:r>
              <w:rPr>
                <w:b w:val="0"/>
                <w:sz w:val="20"/>
              </w:rPr>
              <w:t>P-57</w:t>
            </w:r>
          </w:p>
        </w:tc>
        <w:tc>
          <w:tcPr>
            <w:tcW w:w="6236" w:type="dxa"/>
          </w:tcPr>
          <w:p>
            <w:pPr>
              <w:spacing w:after="60"/>
            </w:pPr>
            <w:r/>
            <w:r>
              <w:rPr>
                <w:b w:val="0"/>
                <w:sz w:val="20"/>
              </w:rPr>
              <w:t>Nada diz quem decide se um cão é cruzamento de raça potencialmente perigosa, com que critério, nem como se contesta</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r>
        <w:tc>
          <w:tcPr>
            <w:tcW w:w="1417" w:type="dxa"/>
          </w:tcPr>
          <w:p>
            <w:pPr>
              <w:spacing w:after="60"/>
            </w:pPr>
            <w:r/>
            <w:r>
              <w:rPr>
                <w:b w:val="0"/>
                <w:sz w:val="20"/>
              </w:rPr>
              <w:t>S-04</w:t>
            </w:r>
          </w:p>
        </w:tc>
        <w:tc>
          <w:tcPr>
            <w:tcW w:w="1417" w:type="dxa"/>
          </w:tcPr>
          <w:p>
            <w:pPr>
              <w:spacing w:after="60"/>
            </w:pPr>
            <w:r/>
            <w:r>
              <w:rPr>
                <w:b w:val="0"/>
                <w:sz w:val="20"/>
              </w:rPr>
              <w:t>P-52</w:t>
            </w:r>
          </w:p>
        </w:tc>
        <w:tc>
          <w:tcPr>
            <w:tcW w:w="6236"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1.34</w:t>
            </w:r>
          </w:p>
        </w:tc>
        <w:tc>
          <w:tcPr>
            <w:tcW w:w="1417" w:type="dxa"/>
          </w:tcPr>
          <w:p>
            <w:pPr>
              <w:spacing w:after="60"/>
            </w:pPr>
            <w:r/>
            <w:r>
              <w:rPr>
                <w:b w:val="0"/>
                <w:sz w:val="20"/>
              </w:rPr>
              <w:t>23.10.2026</w:t>
            </w:r>
          </w:p>
        </w:tc>
        <w:tc>
          <w:tcPr>
            <w:tcW w:w="6406"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247" w:type="dxa"/>
          </w:tcPr>
          <w:p>
            <w:pPr>
              <w:spacing w:after="60"/>
            </w:pPr>
            <w:r/>
            <w:r>
              <w:rPr>
                <w:b w:val="0"/>
                <w:sz w:val="20"/>
              </w:rPr>
              <w:t>1.35</w:t>
            </w:r>
          </w:p>
        </w:tc>
        <w:tc>
          <w:tcPr>
            <w:tcW w:w="1417" w:type="dxa"/>
          </w:tcPr>
          <w:p>
            <w:pPr>
              <w:spacing w:after="60"/>
            </w:pPr>
            <w:r/>
            <w:r>
              <w:rPr>
                <w:b w:val="0"/>
                <w:sz w:val="20"/>
              </w:rPr>
              <w:t>23.10.2026</w:t>
            </w:r>
          </w:p>
        </w:tc>
        <w:tc>
          <w:tcPr>
            <w:tcW w:w="6406"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247" w:type="dxa"/>
          </w:tcPr>
          <w:p>
            <w:pPr>
              <w:spacing w:after="60"/>
            </w:pPr>
            <w:r/>
            <w:r>
              <w:rPr>
                <w:b w:val="0"/>
                <w:sz w:val="20"/>
              </w:rPr>
              <w:t>1.36</w:t>
            </w:r>
          </w:p>
        </w:tc>
        <w:tc>
          <w:tcPr>
            <w:tcW w:w="1417" w:type="dxa"/>
          </w:tcPr>
          <w:p>
            <w:pPr>
              <w:spacing w:after="60"/>
            </w:pPr>
            <w:r/>
            <w:r>
              <w:rPr>
                <w:b w:val="0"/>
                <w:sz w:val="20"/>
              </w:rPr>
              <w:t>23.10.2026</w:t>
            </w:r>
          </w:p>
        </w:tc>
        <w:tc>
          <w:tcPr>
            <w:tcW w:w="6406"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247" w:type="dxa"/>
          </w:tcPr>
          <w:p>
            <w:pPr>
              <w:spacing w:after="60"/>
            </w:pPr>
            <w:r/>
            <w:r>
              <w:rPr>
                <w:b w:val="0"/>
                <w:sz w:val="20"/>
              </w:rPr>
              <w:t>1.37</w:t>
            </w:r>
          </w:p>
        </w:tc>
        <w:tc>
          <w:tcPr>
            <w:tcW w:w="1417" w:type="dxa"/>
          </w:tcPr>
          <w:p>
            <w:pPr>
              <w:spacing w:after="60"/>
            </w:pPr>
            <w:r/>
            <w:r>
              <w:rPr>
                <w:b w:val="0"/>
                <w:sz w:val="20"/>
              </w:rPr>
              <w:t>23.10.2026</w:t>
            </w:r>
          </w:p>
        </w:tc>
        <w:tc>
          <w:tcPr>
            <w:tcW w:w="6406"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247" w:type="dxa"/>
          </w:tcPr>
          <w:p>
            <w:pPr>
              <w:spacing w:after="60"/>
            </w:pPr>
            <w:r/>
            <w:r>
              <w:rPr>
                <w:b w:val="0"/>
                <w:sz w:val="20"/>
              </w:rPr>
              <w:t>1.38</w:t>
            </w:r>
          </w:p>
        </w:tc>
        <w:tc>
          <w:tcPr>
            <w:tcW w:w="1417" w:type="dxa"/>
          </w:tcPr>
          <w:p>
            <w:pPr>
              <w:spacing w:after="60"/>
            </w:pPr>
            <w:r/>
            <w:r>
              <w:rPr>
                <w:b w:val="0"/>
                <w:sz w:val="20"/>
              </w:rPr>
              <w:t>23.10.2026</w:t>
            </w:r>
          </w:p>
        </w:tc>
        <w:tc>
          <w:tcPr>
            <w:tcW w:w="6406"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1.38.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