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Estabelecimentos de comércio a retalho de animais de companhia: ausência da DGAV no procedimento</w:t>
            </w:r>
          </w:p>
        </w:tc>
        <w:tc>
          <w:tcPr>
            <w:tcW w:type="dxa" w:w="2438"/>
          </w:tcPr>
          <w:p>
            <w:pPr>
              <w:spacing w:after="40"/>
              <w:jc w:val="both"/>
            </w:pPr>
            <w:r/>
            <w:r>
              <w:rPr>
                <w:sz w:val="18"/>
              </w:rPr>
              <w:t>Art.º 16.º, n.º 4, e Anexo II</w:t>
            </w:r>
          </w:p>
        </w:tc>
        <w:tc>
          <w:tcPr>
            <w:tcW w:type="dxa" w:w="1134"/>
          </w:tcPr>
          <w:p>
            <w:pPr>
              <w:spacing w:after="40"/>
              <w:jc w:val="both"/>
            </w:pPr>
            <w:r/>
            <w:r>
              <w:rPr>
                <w:sz w:val="18"/>
              </w:rPr>
              <w:t>Fechado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a exclusão eliminada</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w:t>
            </w:r>
          </w:p>
        </w:tc>
        <w:tc>
          <w:tcPr>
            <w:tcW w:type="dxa" w:w="1134"/>
          </w:tcPr>
          <w:p>
            <w:pPr>
              <w:spacing w:after="40"/>
              <w:jc w:val="both"/>
            </w:pPr>
            <w:r/>
            <w:r>
              <w:rPr>
                <w:sz w:val="18"/>
              </w:rPr>
              <w:t>Previsto</w:t>
            </w:r>
          </w:p>
        </w:tc>
      </w:tr>
      <w:tr>
        <w:tc>
          <w:tcPr>
            <w:tcW w:type="dxa" w:w="567"/>
          </w:tcPr>
          <w:p>
            <w:pPr>
              <w:spacing w:after="40"/>
              <w:jc w:val="both"/>
            </w:pPr>
            <w:r/>
            <w:r>
              <w:rPr>
                <w:sz w:val="18"/>
              </w:rPr>
              <w:t>04</w:t>
            </w:r>
          </w:p>
        </w:tc>
        <w:tc>
          <w:tcPr>
            <w:tcW w:type="dxa" w:w="3515"/>
          </w:tcPr>
          <w:p>
            <w:pPr>
              <w:spacing w:after="40"/>
              <w:jc w:val="both"/>
            </w:pPr>
            <w:r/>
            <w:r>
              <w:rPr>
                <w:sz w:val="18"/>
              </w:rPr>
              <w:t>Cláusula de articulação com o regime dos animais de companhia e com o Regulamento</w:t>
            </w:r>
          </w:p>
        </w:tc>
        <w:tc>
          <w:tcPr>
            <w:tcW w:type="dxa" w:w="2438"/>
          </w:tcPr>
          <w:p>
            <w:pPr>
              <w:spacing w:after="40"/>
              <w:jc w:val="both"/>
            </w:pPr>
            <w:r/>
            <w:r>
              <w:rPr>
                <w:sz w:val="18"/>
              </w:rPr>
              <w:t>Art.ºs 2.º e 36.º, n.º 3</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Recolha de animais errantes: delimitação às espécies pecuárias</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06</w:t>
            </w:r>
          </w:p>
        </w:tc>
        <w:tc>
          <w:tcPr>
            <w:tcW w:type="dxa" w:w="3515"/>
          </w:tcPr>
          <w:p>
            <w:pPr>
              <w:spacing w:after="40"/>
              <w:jc w:val="both"/>
            </w:pPr>
            <w:r/>
            <w:r>
              <w:rPr>
                <w:sz w:val="18"/>
              </w:rPr>
              <w:t>Venda em comércio não sedentário, feiras e leilões: falta de articulação</w:t>
            </w:r>
          </w:p>
        </w:tc>
        <w:tc>
          <w:tcPr>
            <w:tcW w:type="dxa" w:w="2438"/>
          </w:tcPr>
          <w:p>
            <w:pPr>
              <w:spacing w:after="40"/>
              <w:jc w:val="both"/>
            </w:pPr>
            <w:r/>
            <w:r>
              <w:rPr>
                <w:sz w:val="18"/>
              </w:rPr>
              <w:t>Art.ºs 133.º, n.º 2, e 153.º, n.º 1</w:t>
            </w:r>
          </w:p>
        </w:tc>
        <w:tc>
          <w:tcPr>
            <w:tcW w:type="dxa" w:w="1134"/>
          </w:tcPr>
          <w:p>
            <w:pPr>
              <w:spacing w:after="40"/>
              <w:jc w:val="both"/>
            </w:pPr>
            <w:r/>
            <w:r>
              <w:rPr>
                <w:sz w:val="18"/>
              </w:rPr>
              <w:t>Previsto</w:t>
            </w:r>
          </w:p>
        </w:tc>
      </w:tr>
      <w:tr>
        <w:tc>
          <w:tcPr>
            <w:tcW w:type="dxa" w:w="567"/>
          </w:tcPr>
          <w:p>
            <w:pPr>
              <w:spacing w:after="40"/>
              <w:jc w:val="both"/>
            </w:pPr>
            <w:r/>
            <w:r>
              <w:rPr>
                <w:sz w:val="18"/>
              </w:rPr>
              <w:t>07</w:t>
            </w:r>
          </w:p>
        </w:tc>
        <w:tc>
          <w:tcPr>
            <w:tcW w:type="dxa" w:w="3515"/>
          </w:tcPr>
          <w:p>
            <w:pPr>
              <w:spacing w:after="40"/>
              <w:jc w:val="both"/>
            </w:pPr>
            <w:r/>
            <w:r>
              <w:rPr>
                <w:sz w:val="18"/>
              </w:rPr>
              <w:t>Venda e publicidade em linha</w:t>
            </w:r>
          </w:p>
        </w:tc>
        <w:tc>
          <w:tcPr>
            <w:tcW w:type="dxa" w:w="2438"/>
          </w:tcPr>
          <w:p>
            <w:pPr>
              <w:spacing w:after="40"/>
              <w:jc w:val="both"/>
            </w:pPr>
            <w:r/>
            <w:r>
              <w:rPr>
                <w:sz w:val="18"/>
              </w:rPr>
              <w:t>Art.º 1.º, n.º 4</w:t>
            </w:r>
          </w:p>
        </w:tc>
        <w:tc>
          <w:tcPr>
            <w:tcW w:type="dxa" w:w="1134"/>
          </w:tcPr>
          <w:p>
            <w:pPr>
              <w:spacing w:after="40"/>
              <w:jc w:val="both"/>
            </w:pPr>
            <w:r/>
            <w:r>
              <w:rPr>
                <w:sz w:val="18"/>
              </w:rPr>
              <w:t>Previsto</w:t>
            </w:r>
          </w:p>
        </w:tc>
      </w:tr>
      <w:tr>
        <w:tc>
          <w:tcPr>
            <w:tcW w:type="dxa" w:w="567"/>
          </w:tcPr>
          <w:p>
            <w:pPr>
              <w:spacing w:after="40"/>
              <w:jc w:val="both"/>
            </w:pPr>
            <w:r/>
            <w:r>
              <w:rPr>
                <w:sz w:val="18"/>
              </w:rPr>
              <w:t>08</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r>
        <w:tc>
          <w:tcPr>
            <w:tcW w:type="dxa" w:w="567"/>
          </w:tcPr>
          <w:p>
            <w:pPr>
              <w:spacing w:after="40"/>
              <w:jc w:val="both"/>
            </w:pPr>
            <w:r/>
            <w:r>
              <w:rPr>
                <w:sz w:val="18"/>
              </w:rPr>
              <w:t>09</w:t>
            </w:r>
          </w:p>
        </w:tc>
        <w:tc>
          <w:tcPr>
            <w:tcW w:type="dxa" w:w="3515"/>
          </w:tcPr>
          <w:p>
            <w:pPr>
              <w:spacing w:after="40"/>
              <w:jc w:val="both"/>
            </w:pPr>
            <w:r/>
            <w:r>
              <w:rPr>
                <w:sz w:val="18"/>
              </w:rPr>
              <w:t>SIAC, base de dados setorial e cadastro</w:t>
            </w:r>
          </w:p>
        </w:tc>
        <w:tc>
          <w:tcPr>
            <w:tcW w:type="dxa" w:w="2438"/>
          </w:tcPr>
          <w:p>
            <w:pPr>
              <w:spacing w:after="40"/>
              <w:jc w:val="both"/>
            </w:pPr>
            <w:r/>
            <w:r>
              <w:rPr>
                <w:sz w:val="18"/>
              </w:rPr>
              <w:t>Art.ºs 198.º a 200.º</w:t>
            </w:r>
          </w:p>
        </w:tc>
        <w:tc>
          <w:tcPr>
            <w:tcW w:type="dxa" w:w="1134"/>
          </w:tcPr>
          <w:p>
            <w:pPr>
              <w:spacing w:after="40"/>
              <w:jc w:val="both"/>
            </w:pPr>
            <w:r/>
            <w:r>
              <w:rPr>
                <w:sz w:val="18"/>
              </w:rPr>
              <w:t>Previsto</w:t>
            </w:r>
          </w:p>
        </w:tc>
      </w:tr>
      <w:tr>
        <w:tc>
          <w:tcPr>
            <w:tcW w:type="dxa" w:w="567"/>
          </w:tcPr>
          <w:p>
            <w:pPr>
              <w:spacing w:after="40"/>
              <w:jc w:val="both"/>
            </w:pPr>
            <w:r/>
            <w:r>
              <w:rPr>
                <w:sz w:val="18"/>
              </w:rPr>
              <w:t>10</w:t>
            </w:r>
          </w:p>
        </w:tc>
        <w:tc>
          <w:tcPr>
            <w:tcW w:type="dxa" w:w="3515"/>
          </w:tcPr>
          <w:p>
            <w:pPr>
              <w:spacing w:after="40"/>
              <w:jc w:val="both"/>
            </w:pPr>
            <w:r/>
            <w:r>
              <w:rPr>
                <w:sz w:val="18"/>
              </w:rPr>
              <w:t>Lapsos formais com efeito material</w:t>
            </w:r>
          </w:p>
        </w:tc>
        <w:tc>
          <w:tcPr>
            <w:tcW w:type="dxa" w:w="2438"/>
          </w:tcPr>
          <w:p>
            <w:pPr>
              <w:spacing w:after="40"/>
              <w:jc w:val="both"/>
            </w:pPr>
            <w:r/>
            <w:r>
              <w:rPr>
                <w:sz w:val="18"/>
              </w:rPr>
              <w:t>Anexo V; numeração da Secção III</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 sobre a renumeração: a ordem seguida na primeira análise global, registada no contributo interno de 5 de outubro de 2026, era diferente. O tema que ali figurava como ponto 6, sobre a fronteira entre detenção caseira e animal de companhia, passou a ser o ponto 02 desta série e absorveu aquele. Os restantes desceram uma posição.</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