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1.26</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Esse artigo não existe. Não se diz para onde vão os animais, quem decide o destino, quem suporta a guarda, nem como se articula com a apreensão penal (CPP, arts. 178.º e 186.º) e com a apreensão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57</w:t>
            </w:r>
          </w:p>
        </w:tc>
        <w:tc>
          <w:tcPr>
            <w:tcW w:w="1701" w:type="dxa"/>
          </w:tcPr>
          <w:p>
            <w:pPr>
              <w:spacing w:after="60"/>
            </w:pPr>
            <w:r/>
            <w:r>
              <w:rPr>
                <w:b/>
                <w:sz w:val="20"/>
              </w:rPr>
              <w:t>96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(21)</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(11)</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(5)</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(8)</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(1)</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1.26.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