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1.18</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Esta norma pode abranger o abate sem necessidade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(4)</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(2)</w:t>
      </w:r>
    </w:p>
    <w:p>
      <w:pPr>
        <w:spacing w:after="20"/>
        <w:ind w:left="454"/>
      </w:pPr>
      <w:r>
        <w:rPr>
          <w:b w:val="0"/>
          <w:i w:val="0"/>
        </w:rPr>
        <w:t>BEM-01. A amarração no domicílio fica sem duração máxima nem requisitos verificáveis (art. 19.º, cap. II)</w:t>
      </w:r>
    </w:p>
    <w:p>
      <w:pPr>
        <w:spacing w:after="20"/>
        <w:ind w:left="454"/>
      </w:pPr>
      <w:r>
        <w:rPr>
          <w:b w:val="0"/>
          <w:i w:val="0"/>
        </w:rPr>
        <w:t>FIN-01. A revogação total da Lei 92/95 apaga normas que não tratam de animais de companhia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