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Resposta — Figura do «criador informal» no âmbito do RGAC</w:t>
      </w:r>
    </w:p>
    <w:p>
      <w:r>
        <w:rPr>
          <w:b/>
          <w:sz w:val="26"/>
        </w:rPr>
        <w:t>1. Enquadramento</w:t>
      </w:r>
    </w:p>
    <w:p>
      <w:pPr>
        <w:jc w:val="both"/>
      </w:pPr>
      <w:r>
        <w:rPr>
          <w:b w:val="0"/>
          <w:i w:val="0"/>
        </w:rPr>
        <w:t>Resposta à pergunta formulada na sequência da notícia publicada no Jornal de Notícias, de 13 de julho de 2026, relativa à eventual criação da figura do «criador informal» e das críticas formuladas quanto à sua alegada incompatibilidade com o futuro Regulamento Europeu relativo ao bem-estar dos cães e gatos e à respetiva rastreabilidade.</w:t>
      </w:r>
    </w:p>
    <w:p>
      <w:r>
        <w:rPr>
          <w:b/>
          <w:sz w:val="26"/>
        </w:rPr>
        <w:t>2. Análise</w:t>
      </w:r>
    </w:p>
    <w:p>
      <w:pPr>
        <w:jc w:val="both"/>
      </w:pPr>
      <w:r>
        <w:rPr>
          <w:b/>
          <w:i w:val="0"/>
        </w:rPr>
        <w:t>Proposta de resposta sucinta:</w:t>
      </w:r>
    </w:p>
    <w:p>
      <w:pPr>
        <w:jc w:val="both"/>
      </w:pPr>
      <w:r>
        <w:rPr>
          <w:b/>
          <w:i w:val="0"/>
        </w:rPr>
        <w:t>1. «Se a criação da figura do "criador informal" se encontra efetivamente prevista ou em ponderação no âmbito dos trabalhos de elaboração do Regime Geral do Animal de Companhia (RGAC)»</w:t>
      </w:r>
    </w:p>
    <w:p>
      <w:pPr>
        <w:jc w:val="both"/>
      </w:pPr>
      <w:r>
        <w:rPr>
          <w:b/>
        </w:rPr>
        <w:t xml:space="preserve">Resposta sucinta: </w:t>
      </w:r>
      <w:r>
        <w:t>Não está prevista a criação de uma figura de «criador informal», uma vez que todos os criadores continuarão sujeitos à obrigatoriedade de registo junto da autoridade competente.</w:t>
      </w:r>
    </w:p>
    <w:p>
      <w:pPr>
        <w:jc w:val="both"/>
      </w:pPr>
      <w:r>
        <w:rPr>
          <w:b w:val="0"/>
          <w:i w:val="0"/>
        </w:rPr>
        <w:t>Ponderou-se a possibilidade de isentar os criadores de escala reduzida de determinados requisitos de instalações, designadamente de determinadas instalações individualizadas previstas nos n.ºs 1 e 2 do artigo 25.º do Decreto-Lei n.º 276/2001, de 17 de outubro. Contudo, esta ponderação não consta, ainda, da versão mais recente do projeto de RGAC.</w:t>
      </w:r>
    </w:p>
    <w:p>
      <w:pPr>
        <w:jc w:val="both"/>
      </w:pPr>
      <w:r>
        <w:rPr>
          <w:b/>
          <w:i w:val="0"/>
        </w:rPr>
        <w:t>2. «Em caso afirmativo:</w:t>
      </w:r>
    </w:p>
    <w:p>
      <w:pPr>
        <w:jc w:val="both"/>
      </w:pPr>
      <w:r>
        <w:rPr>
          <w:b/>
          <w:i w:val="0"/>
        </w:rPr>
        <w:t>a) Qual o enquadramento e objetivos subjacentes à sua criação»</w:t>
      </w:r>
    </w:p>
    <w:p>
      <w:pPr>
        <w:jc w:val="both"/>
      </w:pPr>
      <w:r>
        <w:rPr>
          <w:b w:val="0"/>
          <w:i w:val="0"/>
        </w:rPr>
        <w:t>A ponderação em curso visa adequar os requisitos de instalações – atualmente de enquadramento legal que remete para a criação de grande escala – à criação de pequena escala em ambiente familiar, realidade que já existe e que importa trazer para o quadro regulado.</w:t>
      </w:r>
    </w:p>
    <w:p>
      <w:pPr>
        <w:jc w:val="both"/>
      </w:pPr>
      <w:r>
        <w:rPr>
          <w:b w:val="0"/>
          <w:i w:val="0"/>
        </w:rPr>
        <w:t>O objetivo é duplo: afastar o modelo de criação intensiva com baixos padrões de bem-estar («puppy mills») e eliminar o incentivo à clandestinidade, garantindo que todos os criadores, independentemente da escala, se registam junto da autoridade competente e ficam sujeitos a fiscalização. Não se cria qualquer estatuto de informalidade: o registo, a identificação e a rastreabilidade mantêm-se universais.</w:t>
      </w:r>
    </w:p>
    <w:p>
      <w:pPr>
        <w:jc w:val="both"/>
      </w:pPr>
      <w:r>
        <w:rPr>
          <w:b/>
          <w:i w:val="0"/>
        </w:rPr>
        <w:t>b) «Quais os critérios previstos para a sua delimitação face às figuras atualmente existentes (mera comunicação prévia e permissão administrativa)»</w:t>
      </w:r>
    </w:p>
    <w:p>
      <w:pPr>
        <w:jc w:val="both"/>
      </w:pPr>
      <w:r>
        <w:rPr>
          <w:b w:val="0"/>
          <w:i w:val="0"/>
        </w:rPr>
        <w:t>Não está prevista qualquer isenção destas figuras ou criação de uma terceira figura, todos os criadores continuarão a registar-se junto da autoridade competente.</w:t>
      </w:r>
    </w:p>
    <w:p>
      <w:pPr>
        <w:jc w:val="both"/>
      </w:pPr>
      <w:r>
        <w:rPr>
          <w:b/>
          <w:i w:val="0"/>
        </w:rPr>
        <w:t>c) «Em que medida se considera que esta solução é compatível com o futuro Regulamento Europeu relativo ao bem-estar dos cães e gatos e à respetiva rastreabilidade»</w:t>
      </w:r>
    </w:p>
    <w:p>
      <w:pPr>
        <w:jc w:val="both"/>
      </w:pPr>
      <w:r>
        <w:rPr>
          <w:b w:val="0"/>
          <w:i w:val="0"/>
        </w:rPr>
        <w:t>Esta ponderação, se admitida, surgirá enquadrada num conjunto de propostas de revisão legislativa que aplica o Regulamento na sua completude e, ocasionalmente, apresenta regras nacionais mais restritivas, ao abrigo do artigo 30.º do Regulamento, e destinadas a assegurar uma proteção mais ampla do bem-estar dos cães e gatos e uma maior rastreabilidade.</w:t>
      </w:r>
    </w:p>
    <w:p>
      <w:r>
        <w:rPr>
          <w:b/>
          <w:sz w:val="26"/>
        </w:rPr>
        <w:t>Análise estendida – prós e contras</w:t>
      </w:r>
    </w:p>
    <w:p>
      <w:pPr>
        <w:jc w:val="both"/>
      </w:pPr>
      <w:r>
        <w:rPr>
          <w:b w:val="0"/>
          <w:i w:val="0"/>
        </w:rPr>
        <w:t>Esta figura não foi aventada, nem qualquer outra que se traduza na exclusão de qualquer criador de animais de companhia da obrigação de registo junto da autoridade competente. Não se prevê, portanto, informalidade.</w:t>
      </w:r>
    </w:p>
    <w:p>
      <w:pPr>
        <w:jc w:val="both"/>
      </w:pPr>
      <w:r>
        <w:rPr>
          <w:b w:val="0"/>
          <w:i w:val="0"/>
        </w:rPr>
        <w:t>Ponderou-se, e está em discussão, a isenção de determinados requisitos aplicáveis a criadores de animais de companhia que exerçam a sua atividade até um determinado número limite de animais.</w:t>
      </w:r>
    </w:p>
    <w:p>
      <w:pPr>
        <w:jc w:val="both"/>
      </w:pPr>
      <w:r>
        <w:rPr>
          <w:b/>
        </w:rPr>
        <w:t xml:space="preserve">Quais isenções? </w:t>
      </w:r>
      <w:r>
        <w:t>As que dizem respeito a algumas das instalações individualizadas atualmente exigidas pelo artigo 25.º do Decreto-Lei n.º 276/2001, de 17 de outubro, nomeadamente: as instalações destinadas à armazenagem de alimentos e equipamento limpo e à lavagem e recolha de material (n.º 1) e as destinadas a enfermaria, ao manuseamento de alimentos ou à higienização dos animais (n.º 2). Estando este conceito ainda em análise, esta não é uma lista fechada.</w:t>
      </w:r>
    </w:p>
    <w:p>
      <w:pPr>
        <w:jc w:val="both"/>
      </w:pPr>
      <w:r>
        <w:rPr>
          <w:b/>
        </w:rPr>
        <w:t xml:space="preserve">Qual é o objetivo? </w:t>
      </w:r>
      <w:r>
        <w:t>Sujeitar a criação de animais de companhia que já ocorre em ambiente doméstico a um quadro legislativo proporcionado à sua escala, garantindo o seu registo, a sua rastreabilidade e fiscalização. Simultaneamente, desincentivar a clandestinidade e os fenómenos de criação intensiva e com baixos padrões de bem-estar animal (alojamentos vulgarmente denominados como «fábricas de cachorros», elencadas no exemplo do artigo da comunicação social), onde os animais são muitas vezes reproduzidos e criados com escasso contacto com seres humanos, a fim de promover o bem-estar e os comportamentos adequados ao destino de um animal de companhia.</w:t>
      </w:r>
    </w:p>
    <w:p>
      <w:pPr>
        <w:jc w:val="both"/>
      </w:pPr>
      <w:r>
        <w:rPr>
          <w:b/>
        </w:rPr>
        <w:t xml:space="preserve">Qual seria o número limite de animais? </w:t>
      </w:r>
      <w:r>
        <w:t>Não se encontra definido, mas poderá considerar-se a articulação com o número máximo de cães e gatos adultos definido para o fogo habitacional, e o número de ninhadas anuais.</w:t>
      </w:r>
    </w:p>
    <w:p>
      <w:pPr>
        <w:jc w:val="both"/>
      </w:pPr>
      <w:r>
        <w:rPr>
          <w:b w:val="0"/>
          <w:i w:val="0"/>
        </w:rPr>
        <w:t>Assinala-se, aliás, que, em concordância com o artigo 10.º do novo Regulamento Europeu, o projeto de RGAC atual já está obrigado a graduar o acesso à atividade em função da escala, mas no sentido de maior restrição: aplica-se a permissão administrativa para os estabelecimentos que produzam, ou tencionem produzir, mais de cinco ninhadas por ano civil, ou que detenham, a qualquer momento, mais de cinco cadelas ou gatas reprodutoras.</w:t>
      </w:r>
    </w:p>
    <w:p>
      <w:pPr>
        <w:jc w:val="both"/>
      </w:pPr>
      <w:r>
        <w:rPr>
          <w:b/>
        </w:rPr>
        <w:t xml:space="preserve">Formalidade preservada: </w:t>
      </w:r>
      <w:r>
        <w:t>O registo junto da DGAV através da mera comunicação prévia ou da permissão administrativa manter-se-á para todos os criadores, garantindo assim que a atividade permanecerá identificada e sujeita a ações de fiscalização, em sede das quais se verifica o cumprimento integral dos requisitos de bem-estar animal e higiossanitários aplicáveis. Entende-se assim estar garantida a essência de uma atividade regulada e controlada e, portanto, formal.</w:t>
      </w:r>
    </w:p>
    <w:p>
      <w:pPr>
        <w:jc w:val="both"/>
      </w:pPr>
      <w:r>
        <w:rPr>
          <w:b/>
        </w:rPr>
        <w:t xml:space="preserve">Medidas complementares: </w:t>
      </w:r>
      <w:r>
        <w:t>Esta ponderação insere-se num pacote de revisão legislativa acompanhado de propostas que reforçam o controlo da reprodução dos animais de companhia, pilar fundamental que tem sido publicamente apoiado por esta Direção-Geral, designadamente:</w:t>
      </w:r>
    </w:p>
    <w:p>
      <w:pPr>
        <w:ind w:left="400"/>
        <w:jc w:val="both"/>
      </w:pPr>
      <w:r>
        <w:t>a) O abandono do critério dos fins lucrativos para o registo como criador: qualquer criador, com ou sem fins lucrativos, deverá registar-se;</w:t>
      </w:r>
    </w:p>
    <w:p>
      <w:pPr>
        <w:ind w:left="400"/>
        <w:jc w:val="both"/>
      </w:pPr>
      <w:r>
        <w:t>b) A identificação obrigatória das crias até aos três meses de idade e sempre antes de saírem do local de nascimento, com registo no SIAC em nome do operador do estabelecimento;</w:t>
      </w:r>
    </w:p>
    <w:p>
      <w:pPr>
        <w:ind w:left="400"/>
        <w:jc w:val="both"/>
      </w:pPr>
      <w:r>
        <w:t>c) A declaração, na mera comunicação prévia, do número estimado de ninhadas a colocar no mercado por ano;</w:t>
      </w:r>
    </w:p>
    <w:p>
      <w:pPr>
        <w:ind w:left="400"/>
        <w:jc w:val="both"/>
      </w:pPr>
      <w:r>
        <w:t>d) A ficha de verificação única obrigatória nos anúncios em linha, permitindo ao adquirente confirmar a autenticidade da identificação, do registo e da propriedade do animal anunciado;</w:t>
      </w:r>
    </w:p>
    <w:p>
      <w:pPr>
        <w:ind w:left="400"/>
        <w:jc w:val="both"/>
      </w:pPr>
      <w:r>
        <w:t>e) O acesso dos municípios e das juntas de freguesia ao SIAC para monitorização do número de animais de companhia por habitação;</w:t>
      </w:r>
    </w:p>
    <w:p>
      <w:pPr>
        <w:ind w:left="400"/>
        <w:jc w:val="both"/>
      </w:pPr>
      <w:r>
        <w:t>f) O registo obrigatório das ninhadas no SIAC.</w:t>
      </w:r>
    </w:p>
    <w:p>
      <w:r>
        <w:rPr>
          <w:b/>
          <w:sz w:val="26"/>
        </w:rPr>
        <w:t>Fragilidades e argumentos</w:t>
      </w:r>
    </w:p>
    <w:p>
      <w:pPr>
        <w:jc w:val="both"/>
      </w:pPr>
      <w:r>
        <w:rPr>
          <w:b/>
          <w:i w:val="0"/>
        </w:rPr>
        <w:t>1. Esta alteração é um «facilitismo» ao início da atividade?</w:t>
      </w:r>
    </w:p>
    <w:p>
      <w:pPr>
        <w:jc w:val="both"/>
      </w:pPr>
      <w:r>
        <w:rPr>
          <w:b w:val="0"/>
          <w:i w:val="0"/>
        </w:rPr>
        <w:t>Uma vez que os requisitos de instalações obrigatórias seriam aligeirados, naturalmente pode ser entendido que se facilita o início de atividade nos casos aplicáveis. Argumento: entende-se que esta atividade já existe, seja na forma de criadores ocasionais que cruzam, intencionalmente ou não, os seus animais de forma não regular e estruturada, ou seja na forma de quem o faz sem fins comerciais declarados. O que se pretende é trazer ambos para a obrigatoriedade de registo e adaptar a legislação ao fenómeno da criação de animais em ambiente doméstico.</w:t>
      </w:r>
    </w:p>
    <w:p>
      <w:pPr>
        <w:jc w:val="both"/>
      </w:pPr>
      <w:r>
        <w:rPr>
          <w:b/>
          <w:i w:val="0"/>
        </w:rPr>
        <w:t>2. Como evitar deturpações desta isenção?</w:t>
      </w:r>
    </w:p>
    <w:p>
      <w:pPr>
        <w:jc w:val="both"/>
      </w:pPr>
      <w:r>
        <w:rPr>
          <w:b w:val="0"/>
          <w:i w:val="0"/>
        </w:rPr>
        <w:t>Argumento: Este regime é um pacote de alterações legislativas que se complementam e, naturalmente, algumas destas alterações só serão viáveis se acompanhadas de outras que incrementam as camadas de fiscalização, designadamente as elencadas acima.</w:t>
      </w:r>
    </w:p>
    <w:p>
      <w:pPr>
        <w:jc w:val="both"/>
      </w:pPr>
      <w:r>
        <w:rPr>
          <w:b/>
          <w:i w:val="0"/>
        </w:rPr>
        <w:t>3. Haverá um criador «menos formal»?</w:t>
      </w:r>
    </w:p>
    <w:p>
      <w:pPr>
        <w:jc w:val="both"/>
      </w:pPr>
      <w:r>
        <w:rPr>
          <w:b w:val="0"/>
          <w:i w:val="0"/>
        </w:rPr>
        <w:t>Argumento: O regime permanece formal em tudo o que releva (registo, identificação, rastreabilidade e fiscalização); apenas proporciona os requisitos de instalações à escala doméstica.</w:t>
      </w:r>
    </w:p>
    <w:p>
      <w:pPr>
        <w:jc w:val="both"/>
      </w:pPr>
      <w:r>
        <w:rPr>
          <w:b/>
          <w:i w:val="0"/>
        </w:rPr>
        <w:t>4. Dificuldades na fiscalização?</w:t>
      </w:r>
    </w:p>
    <w:p>
      <w:pPr>
        <w:jc w:val="both"/>
      </w:pPr>
      <w:r>
        <w:rPr>
          <w:b w:val="0"/>
          <w:i w:val="0"/>
        </w:rPr>
        <w:t>Como evitar que um criador de maior dimensão contorne o limiar distribuindo os animais por membros do agregado familiar ou por vários fogos. Argumento: o limiar deve aferir-se por local de estabelecimento, associado a um responsável. A otimização do acesso dos municípios e das juntas de freguesia ao SIAC para monitorização do número de animais por habitação, cruzado com as fêmeas reprodutoras registadas e as ninhadas declaradas, deverá ser previsto.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