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color w:val="000000"/>
          <w:sz w:val="22"/>
        </w:rPr>
        <w:t>DIREÇÃO-GERAL DE ALIMENTAÇÃO E VETERINÁRIA</w:t>
      </w:r>
    </w:p>
    <w:p>
      <w:pPr>
        <w:spacing w:before="0" w:after="40" w:line="276" w:lineRule="auto"/>
        <w:jc w:val="left"/>
      </w:pPr>
      <w:r>
        <w:rPr>
          <w:color w:val="000000"/>
          <w:sz w:val="22"/>
        </w:rPr>
        <w:t>Bem-estar dos animais de companhia</w:t>
      </w:r>
    </w:p>
    <w:p>
      <w:pPr>
        <w:spacing w:before="0" w:after="280" w:line="276" w:lineRule="auto"/>
        <w:jc w:val="left"/>
      </w:pPr>
      <w:r>
        <w:rPr>
          <w:color w:val="000000"/>
          <w:sz w:val="22"/>
        </w:rPr>
        <w:t>Processo n.º ______   Data ______</w:t>
      </w:r>
    </w:p>
    <w:p>
      <w:pPr>
        <w:spacing w:before="0" w:after="240" w:line="276" w:lineRule="auto"/>
        <w:jc w:val="left"/>
      </w:pPr>
      <w:r>
        <w:rPr>
          <w:color w:val="000000"/>
          <w:sz w:val="24"/>
        </w:rPr>
        <w:t>Parecer sobre o Projeto de Lei n.º 780/XVII/2.ª (PAN), que criminaliza a prática da zoofilia reforçando a proteção animal e a tutela penal e contraordenacional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O projeto altera o artigo 387.º do Código Penal e adita a alínea h) ao n.º 3 do artigo 1.º da Lei n.º 92/95, de 12 de setembro. Este parecer incide sobre o bem-estar dos animais de companhia. As observações sobre as restantes matérias são sinalizações, sem prejuízo da pronúncia das unidades competentes.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Sentido: favorável, condicionado à correção referida no ponto 3.</w:t>
      </w:r>
    </w:p>
    <w:p>
      <w:pPr>
        <w:spacing w:before="320" w:after="120" w:line="276" w:lineRule="auto"/>
        <w:jc w:val="left"/>
      </w:pPr>
      <w:r>
        <w:rPr>
          <w:color w:val="000000"/>
          <w:sz w:val="24"/>
        </w:rPr>
        <w:t>1. O que a iniciativa acrescenta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O n.º 3 do artigo 387.º passa a ter duas alíneas, ambas sob o elemento «sem motivo legítimo». A alínea a) reproduz o crime de maus tratos vigente. A alínea b) acrescenta «Ofender sexualmente um animal de companhia através de cópula, coito anal, coito oral ou a introdução vaginal, anal ou oral de partes do corpo ou de objetos». A moldura penal mantém-se.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Na Lei n.º 92/95 adita-se a alínea h), com fórmula equivalente mas referida a «animais», sem qualificação de espécie.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O efeito útil é um só. A conduta passa a ser punível sem prova de sofrimento ou lesão.</w:t>
      </w:r>
    </w:p>
    <w:p>
      <w:pPr>
        <w:spacing w:before="320" w:after="120" w:line="276" w:lineRule="auto"/>
        <w:jc w:val="left"/>
      </w:pPr>
      <w:r>
        <w:rPr>
          <w:color w:val="000000"/>
          <w:sz w:val="24"/>
        </w:rPr>
        <w:t>2. O que já está coberto e o que falta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O bem-estar do próprio animal está protegido no regime vigente, por várias vias. Convém enunciá-las antes de identificar a lacuna.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O n.º 3 do artigo 7.º do Decreto-Lei n.º 276/2001, de 17 de outubro, proíbe «todas as violências contra animais, considerando-se como tais os atos consistentes em, sem necessidade, se infligir a morte, o sofrimento ou lesões a um animal». A violação é contraordenação económica muito grave, pela alínea d) do n.º 2 do artigo 68.º. O patamar é baixo. Basta o sofrimento ou a lesão, sem necessidade.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A alínea f) do n.º 1 do mesmo artigo sanciona o alojamento em desrespeito das condições fixadas no diploma, que são as dos artigos 7.º a 9.º. A alínea e) do n.º 2 sanciona o maneio e treino com brutalidade. No plano penal, o n.º 3 do artigo 387.º pune quem inflija dor, sofrimento ou maus tratos físicos a animal de companhia.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O artigo 6.º, que fixa o dever especial de cuidado, só é sancionado por remissão direta quando o perigo recaia sobre outro animal, pela alínea j) do n.º 1, ou sobre outrem, pela alínea b) do n.º 2. Isso não deixa o animal desprotegido, pelas vias acima.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A lacuna é, por isso, estreita e precisa. O ato sexual de que resulte sofrimento ou lesão já é hoje crime e contraordenação. O ato sexual de que não resulte sofrimento nem lesão demonstráveis não encontra tipo, nem penal nem contraordenacional. É esse o espaço que a iniciativa ocupa, e é o que a própria exposição de motivos identifica.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Acresce um segundo efeito, de ordem probatória. Mesmo havendo sofrimento, a resposta disponível exige a prova desse sofrimento. A perícia médico-veterinária demonstra com mais facilidade o ato do que o sofrimento que dele resultou. A alteração proposta faz coincidir o objeto do tipo com o objeto da prova.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Nota-se ainda que a alínea c) do n.º 5 do artigo 387.º já qualifica como especialmente censurável o crime determinado «para excitação». A agravante existe. Falta o tipo que ela pressupõe.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Sinalização fora da competência desta divisão. A conduta envolve contacto direto de mucosas entre espécies e tem relevância higiossanitária e zoonótica documentada. Um estudo caso-controlo multicêntrico apurou associação epidemiológica (Zequi SC, et al., J Sex Med. 2012;9(7):1860-67). Está descrita transmissão sexual de brucelose (Li N, et al., IDCases. 2020;21:e00871). É matéria de saúde pública veterinária. Sugere-se que seja levada à fundamentação da iniciativa.</w:t>
      </w:r>
    </w:p>
    <w:p>
      <w:pPr>
        <w:spacing w:before="320" w:after="120" w:line="276" w:lineRule="auto"/>
        <w:jc w:val="left"/>
      </w:pPr>
      <w:r>
        <w:rPr>
          <w:color w:val="000000"/>
          <w:sz w:val="24"/>
        </w:rPr>
        <w:t>3. Correção premente: sobreinclusão sobre atos médico-veterinários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A alínea h) proposta abrange «a introdução vaginal, anal ou oral de partes do corpo ou de objetos». A norma penal subordina ambas as alíneas ao elemento «sem motivo legítimo». A norma contraordenacional não tem elemento limitador nenhum.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O n.º 1 do mesmo artigo não resolve a falta. É autodefinido e o n.º 3 abre com «São também proibidos», acrescentando e não especificando. A demonstração está no próprio artigo: as alíneas a), b), c), e) e f) do n.º 3 têm limitadores próprios, que seriam redundantes se o n.º 1 se transmitisse.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Ficam abrangidos, na letra, atos correntes da prática clínica e zootécnica: termometria retal, palpação e ecografia transretais, inseminação artificial, sondagem, enemas, exploração obstétrica.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Convém delimitar o alcance da objeção. O artigo 32.º do Regime Geral das Contra-Ordenações manda aplicar as normas do Código Penal, incluindo as causas de exclusão da ilicitude do artigo 31.º. O ato praticado no exercício da atividade médico-veterinária estaria justificado. Não se sustenta que um médico veterinário viesse a ser sancionado.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A objeção é de estrutura. A norma fica sobreinclusiva na sua face e a licitude passa a discutir-se por causa de justificação não escrita. O artigo 11.º da Lei n.º 92/95 atribui a fiscalização a nove entidades, incluindo autoridades policiais.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Propõe-se introduzir na alínea h) um elemento que restrinja a conduta à finalidade sexual. Em alternativa, ressalva expressa dos atos médico-veterinários e zootécnicos legalmente praticados. A primeira solução é preferível. Com elemento finalístico o ato clínico não chega a preencher a norma, o que dispensa a ressalva e a sua atualização.</w:t>
      </w:r>
    </w:p>
    <w:p>
      <w:pPr>
        <w:spacing w:before="320" w:after="120" w:line="276" w:lineRule="auto"/>
        <w:jc w:val="left"/>
      </w:pPr>
      <w:r>
        <w:rPr>
          <w:color w:val="000000"/>
          <w:sz w:val="24"/>
        </w:rPr>
        <w:t>4. Observações de aperfeiçoamento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Taxatividade. A lista é fechada. Ficam fora a masturbação do animal, o contacto oral-genital sem coito e a imposição de monta, incluindo quando a desproporção de porte possa causar lesões. A exposição de motivos refere condutas que o articulado não abrange.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Conteúdos audiovisuais. A exposição de motivos anuncia a criminalização da produção e difusão de conteúdos. O articulado nada dispõe. O n.º 4 do artigo 7.º do Decreto-Lei n.º 276/2001 já proíbe a utilização de animais em filmagens de que resultem dor ou sofrimentos consideráveis, e a violação é contraordenação muito grave. Cobre parte da produção. Nada cobre a difusão.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Dever de comunicação. Deverá prever-se dever de comunicação a cargo do médico veterinário que detete indícios compatíveis com ofensa sexual? E como se articula esse dever com o sigilo do Código Deontológico Médico-Veterinário? Sugere-se a audição da Ordem dos Médicos Veterinários.</w:t>
      </w:r>
    </w:p>
    <w:p>
      <w:pPr>
        <w:spacing w:before="320" w:after="120" w:line="276" w:lineRule="auto"/>
        <w:jc w:val="left"/>
      </w:pPr>
      <w:r>
        <w:rPr>
          <w:color w:val="000000"/>
          <w:sz w:val="24"/>
        </w:rPr>
        <w:t>5. Conclusão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A lacuna invocada existe, com o alcance delimitado no ponto 2. O ato sexual de que não resulte sofrimento nem lesão demonstráveis não tem hoje tipo penal nem contraordenacional. A iniciativa ocupa esse espaço e faz coincidir o objeto do tipo com o objeto da prova pericial.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A redação proposta para a Lei n.º 92/95 é sobreinclusiva quanto a atos médico-veterinários e zootécnicos. A correção do ponto 3 é premente. Nada mais se opõe, em termos técnicos, à aprovação da iniciativa.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