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1.33</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53 fichas, das quais 49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14</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65</w:t>
            </w:r>
          </w:p>
        </w:tc>
        <w:tc>
          <w:tcPr>
            <w:tcW w:w="1701" w:type="dxa"/>
          </w:tcPr>
          <w:p>
            <w:pPr>
              <w:spacing w:after="60"/>
            </w:pPr>
            <w:r/>
            <w:r>
              <w:rPr>
                <w:b/>
                <w:sz w:val="20"/>
              </w:rPr>
              <w:t>88</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